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73E505C" w14:textId="77777777" w:rsidR="00DC3389" w:rsidRDefault="00A84AF9">
      <w:pPr>
        <w:pStyle w:val="BodyTextIndent"/>
        <w:ind w:left="2007" w:hanging="9"/>
        <w:rPr>
          <w:rFonts w:ascii="Arial" w:hAnsi="Arial" w:cs="Arial"/>
          <w:color w:val="0000FF"/>
          <w:sz w:val="22"/>
          <w:szCs w:val="22"/>
        </w:rPr>
      </w:pPr>
      <w:r>
        <w:rPr>
          <w:noProof/>
          <w:lang w:val="en-GB"/>
        </w:rPr>
        <w:drawing>
          <wp:anchor distT="0" distB="0" distL="0" distR="0" simplePos="0" relativeHeight="3" behindDoc="1" locked="0" layoutInCell="1" allowOverlap="1" wp14:anchorId="43A40265" wp14:editId="05FCC751">
            <wp:simplePos x="0" y="0"/>
            <wp:positionH relativeFrom="column">
              <wp:posOffset>-85090</wp:posOffset>
            </wp:positionH>
            <wp:positionV relativeFrom="paragraph">
              <wp:posOffset>237490</wp:posOffset>
            </wp:positionV>
            <wp:extent cx="1238885" cy="762635"/>
            <wp:effectExtent l="0" t="0" r="0" b="0"/>
            <wp:wrapSquare wrapText="bothSides"/>
            <wp:docPr id="1" name="graphic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phic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885" cy="762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color w:val="0000FF"/>
          <w:sz w:val="22"/>
          <w:szCs w:val="22"/>
        </w:rPr>
        <w:t>This form should be used for all taxonomic proposals. Please complete all those modules that are applicable.</w:t>
      </w:r>
    </w:p>
    <w:p w14:paraId="3C9DB655" w14:textId="77777777" w:rsidR="00DC3389" w:rsidRDefault="00A84AF9">
      <w:pPr>
        <w:pStyle w:val="BodyTextIndent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>For guidance, see the notes written in blue and the separate document “Help with completing a taxonomic proposal”</w:t>
      </w:r>
    </w:p>
    <w:p w14:paraId="0968BDB7" w14:textId="77777777" w:rsidR="00DC3389" w:rsidRDefault="00DC3389">
      <w:pPr>
        <w:ind w:left="2007"/>
        <w:rPr>
          <w:color w:val="0000FF"/>
        </w:rPr>
      </w:pPr>
    </w:p>
    <w:p w14:paraId="1242B900" w14:textId="77777777" w:rsidR="00DC3389" w:rsidRDefault="00A84AF9">
      <w:pPr>
        <w:pStyle w:val="BodyTextIndent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>Please try to keep related proposals within a single document.</w:t>
      </w:r>
    </w:p>
    <w:p w14:paraId="24BFEC39" w14:textId="77777777" w:rsidR="00DC3389" w:rsidRDefault="00DC3389">
      <w:pPr>
        <w:pStyle w:val="BodyTextIndent"/>
        <w:ind w:left="0" w:firstLine="0"/>
        <w:rPr>
          <w:rFonts w:ascii="Arial" w:hAnsi="Arial" w:cs="Arial"/>
          <w:color w:val="0000FF"/>
          <w:sz w:val="22"/>
          <w:szCs w:val="22"/>
        </w:rPr>
      </w:pPr>
    </w:p>
    <w:p w14:paraId="71D61B86" w14:textId="77777777" w:rsidR="00DC3389" w:rsidRDefault="00DC3389">
      <w:pPr>
        <w:rPr>
          <w:rFonts w:ascii="Arial" w:hAnsi="Arial" w:cs="Arial"/>
          <w:sz w:val="22"/>
          <w:szCs w:val="22"/>
          <w:lang w:val="en-GB"/>
        </w:rPr>
      </w:pPr>
    </w:p>
    <w:p w14:paraId="3DEAD532" w14:textId="77777777" w:rsidR="00DC3389" w:rsidRDefault="00A84AF9">
      <w:pPr>
        <w:rPr>
          <w:rFonts w:ascii="Arial" w:hAnsi="Arial" w:cs="Arial"/>
          <w:sz w:val="22"/>
          <w:szCs w:val="22"/>
          <w:lang w:val="en-GB"/>
        </w:rPr>
      </w:pPr>
      <w:r>
        <w:rPr>
          <w:rFonts w:ascii="Arial" w:hAnsi="Arial" w:cs="Arial"/>
          <w:color w:val="000000"/>
          <w:sz w:val="20"/>
        </w:rPr>
        <w:t>Part</w:t>
      </w:r>
      <w:r>
        <w:rPr>
          <w:rFonts w:ascii="Arial" w:hAnsi="Arial" w:cs="Arial"/>
          <w:color w:val="000000"/>
          <w:sz w:val="22"/>
          <w:szCs w:val="22"/>
        </w:rPr>
        <w:t xml:space="preserve"> 1: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TITLE, AUTHORS, </w:t>
      </w:r>
      <w:proofErr w:type="spellStart"/>
      <w:r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  <w:proofErr w:type="spellEnd"/>
    </w:p>
    <w:p w14:paraId="7501C031" w14:textId="77777777" w:rsidR="00DC3389" w:rsidRDefault="00DC3389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Ind w:w="-15" w:type="dxa"/>
        <w:tblBorders>
          <w:top w:val="double" w:sz="4" w:space="0" w:color="00000A"/>
          <w:left w:val="double" w:sz="4" w:space="0" w:color="00000A"/>
          <w:right w:val="single" w:sz="4" w:space="0" w:color="00000A"/>
          <w:insideV w:val="single" w:sz="4" w:space="0" w:color="00000A"/>
        </w:tblBorders>
        <w:tblCellMar>
          <w:left w:w="78" w:type="dxa"/>
        </w:tblCellMar>
        <w:tblLook w:val="04A0" w:firstRow="1" w:lastRow="0" w:firstColumn="1" w:lastColumn="0" w:noHBand="0" w:noVBand="1"/>
      </w:tblPr>
      <w:tblGrid>
        <w:gridCol w:w="3064"/>
        <w:gridCol w:w="1394"/>
        <w:gridCol w:w="753"/>
        <w:gridCol w:w="573"/>
        <w:gridCol w:w="593"/>
        <w:gridCol w:w="3091"/>
      </w:tblGrid>
      <w:tr w:rsidR="00DC3389" w14:paraId="69A956B8" w14:textId="77777777">
        <w:trPr>
          <w:tblHeader/>
        </w:trPr>
        <w:tc>
          <w:tcPr>
            <w:tcW w:w="3064" w:type="dxa"/>
            <w:tcBorders>
              <w:top w:val="double" w:sz="4" w:space="0" w:color="00000A"/>
              <w:left w:val="double" w:sz="4" w:space="0" w:color="00000A"/>
              <w:right w:val="single" w:sz="4" w:space="0" w:color="00000A"/>
            </w:tcBorders>
            <w:shd w:val="clear" w:color="auto" w:fill="auto"/>
            <w:tcMar>
              <w:left w:w="78" w:type="dxa"/>
            </w:tcMar>
            <w:vAlign w:val="center"/>
          </w:tcPr>
          <w:p w14:paraId="5F37209E" w14:textId="77777777" w:rsidR="00DC3389" w:rsidRDefault="00A84AF9">
            <w:pPr>
              <w:pStyle w:val="BodyTextIndent"/>
              <w:ind w:left="0" w:firstLine="0"/>
              <w:rPr>
                <w:rFonts w:ascii="Times New Roman" w:hAnsi="Times New Roman"/>
                <w:b/>
                <w:i/>
                <w:sz w:val="36"/>
                <w:szCs w:val="36"/>
              </w:rPr>
            </w:pPr>
            <w:r>
              <w:rPr>
                <w:rFonts w:ascii="Times New Roman" w:hAnsi="Times New Roman"/>
                <w:b/>
                <w:szCs w:val="24"/>
              </w:rPr>
              <w:t>Code assigned:</w:t>
            </w:r>
          </w:p>
        </w:tc>
        <w:tc>
          <w:tcPr>
            <w:tcW w:w="3313" w:type="dxa"/>
            <w:gridSpan w:val="4"/>
            <w:tcBorders>
              <w:top w:val="doub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14:paraId="60EB4150" w14:textId="39AFD78F" w:rsidR="00DC3389" w:rsidRDefault="004274DE">
            <w:pPr>
              <w:pStyle w:val="BodyTextIndent"/>
              <w:ind w:left="0" w:firstLine="0"/>
              <w:rPr>
                <w:rFonts w:ascii="Times New Roman" w:hAnsi="Times New Roman"/>
                <w:b/>
                <w:i/>
                <w:sz w:val="36"/>
                <w:szCs w:val="36"/>
              </w:rPr>
            </w:pPr>
            <w:r w:rsidRPr="00521CA5">
              <w:rPr>
                <w:rFonts w:ascii="Times New Roman" w:hAnsi="Times New Roman"/>
                <w:b/>
                <w:i/>
                <w:sz w:val="36"/>
                <w:szCs w:val="36"/>
              </w:rPr>
              <w:t>2017.011S</w:t>
            </w:r>
          </w:p>
        </w:tc>
        <w:tc>
          <w:tcPr>
            <w:tcW w:w="3091" w:type="dxa"/>
            <w:tcBorders>
              <w:top w:val="double" w:sz="4" w:space="0" w:color="00000A"/>
              <w:left w:val="single" w:sz="4" w:space="0" w:color="00000A"/>
              <w:right w:val="double" w:sz="4" w:space="0" w:color="00000A"/>
            </w:tcBorders>
            <w:shd w:val="clear" w:color="auto" w:fill="auto"/>
            <w:tcMar>
              <w:left w:w="98" w:type="dxa"/>
            </w:tcMar>
            <w:vAlign w:val="center"/>
          </w:tcPr>
          <w:p w14:paraId="3C3573D4" w14:textId="77777777" w:rsidR="00DC3389" w:rsidRDefault="00A84AF9">
            <w:pPr>
              <w:pStyle w:val="BodyTextIndent"/>
              <w:ind w:left="0" w:firstLine="0"/>
              <w:rPr>
                <w:rFonts w:ascii="Times New Roman" w:hAnsi="Times New Roman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DC3389" w14:paraId="1DDDA6E9" w14:textId="77777777">
        <w:trPr>
          <w:tblHeader/>
        </w:trPr>
        <w:tc>
          <w:tcPr>
            <w:tcW w:w="9468" w:type="dxa"/>
            <w:gridSpan w:val="6"/>
            <w:tcBorders>
              <w:left w:val="double" w:sz="4" w:space="0" w:color="00000A"/>
              <w:right w:val="double" w:sz="4" w:space="0" w:color="00000A"/>
            </w:tcBorders>
            <w:shd w:val="clear" w:color="auto" w:fill="auto"/>
            <w:tcMar>
              <w:left w:w="78" w:type="dxa"/>
            </w:tcMar>
          </w:tcPr>
          <w:p w14:paraId="2070AE5B" w14:textId="29EE293E" w:rsidR="00DC3389" w:rsidRDefault="00A84AF9" w:rsidP="00EA1B7C">
            <w:pPr>
              <w:spacing w:before="120"/>
            </w:pPr>
            <w:r>
              <w:rPr>
                <w:b/>
              </w:rPr>
              <w:t xml:space="preserve">Short title: </w:t>
            </w:r>
            <w:r w:rsidR="00EA1B7C">
              <w:rPr>
                <w:rFonts w:ascii="Arial" w:hAnsi="Arial" w:cs="Arial"/>
                <w:color w:val="auto"/>
                <w:sz w:val="20"/>
              </w:rPr>
              <w:t>P</w:t>
            </w:r>
            <w:r w:rsidRPr="002271C7">
              <w:rPr>
                <w:rFonts w:ascii="Arial" w:hAnsi="Arial" w:cs="Arial"/>
                <w:color w:val="auto"/>
                <w:sz w:val="20"/>
              </w:rPr>
              <w:t xml:space="preserve">roposal for </w:t>
            </w:r>
            <w:r w:rsidR="00EA1B7C">
              <w:rPr>
                <w:rFonts w:ascii="Arial" w:hAnsi="Arial" w:cs="Arial"/>
                <w:color w:val="auto"/>
                <w:sz w:val="20"/>
              </w:rPr>
              <w:t>a</w:t>
            </w:r>
            <w:r w:rsidRPr="002271C7">
              <w:rPr>
                <w:rFonts w:ascii="Arial" w:hAnsi="Arial" w:cs="Arial"/>
                <w:color w:val="auto"/>
                <w:sz w:val="20"/>
              </w:rPr>
              <w:t xml:space="preserve"> new</w:t>
            </w:r>
            <w:r w:rsidR="00EA1B7C">
              <w:rPr>
                <w:rFonts w:ascii="Arial" w:hAnsi="Arial" w:cs="Arial"/>
                <w:color w:val="auto"/>
                <w:sz w:val="20"/>
              </w:rPr>
              <w:t xml:space="preserve"> virus family,</w:t>
            </w:r>
            <w:r w:rsidRPr="002271C7">
              <w:rPr>
                <w:rFonts w:ascii="Arial" w:hAnsi="Arial" w:cs="Arial"/>
                <w:color w:val="auto"/>
                <w:sz w:val="20"/>
              </w:rPr>
              <w:t xml:space="preserve"> </w:t>
            </w:r>
            <w:proofErr w:type="spellStart"/>
            <w:r w:rsidR="00FB078A">
              <w:rPr>
                <w:rFonts w:ascii="Arial" w:hAnsi="Arial" w:cs="Arial"/>
                <w:i/>
                <w:color w:val="auto"/>
                <w:sz w:val="20"/>
              </w:rPr>
              <w:t>Poly</w:t>
            </w:r>
            <w:r w:rsidRPr="002271C7">
              <w:rPr>
                <w:rFonts w:ascii="Arial" w:hAnsi="Arial" w:cs="Arial"/>
                <w:i/>
                <w:color w:val="auto"/>
                <w:sz w:val="20"/>
              </w:rPr>
              <w:t>cipiviridae</w:t>
            </w:r>
            <w:proofErr w:type="spellEnd"/>
            <w:r w:rsidR="00EA1B7C">
              <w:rPr>
                <w:rFonts w:ascii="Arial" w:hAnsi="Arial" w:cs="Arial"/>
                <w:color w:val="auto"/>
                <w:sz w:val="20"/>
              </w:rPr>
              <w:t>.</w:t>
            </w:r>
          </w:p>
        </w:tc>
      </w:tr>
      <w:tr w:rsidR="00DC3389" w14:paraId="06121449" w14:textId="77777777">
        <w:tc>
          <w:tcPr>
            <w:tcW w:w="4458" w:type="dxa"/>
            <w:gridSpan w:val="2"/>
            <w:tcBorders>
              <w:top w:val="double" w:sz="4" w:space="0" w:color="00000A"/>
              <w:left w:val="double" w:sz="4" w:space="0" w:color="00000A"/>
              <w:bottom w:val="double" w:sz="4" w:space="0" w:color="00000A"/>
              <w:right w:val="single" w:sz="4" w:space="0" w:color="00000A"/>
            </w:tcBorders>
            <w:shd w:val="clear" w:color="auto" w:fill="auto"/>
            <w:tcMar>
              <w:left w:w="78" w:type="dxa"/>
            </w:tcMar>
            <w:vAlign w:val="center"/>
          </w:tcPr>
          <w:p w14:paraId="5B5907EB" w14:textId="77777777" w:rsidR="00DC3389" w:rsidRDefault="00A84AF9">
            <w:pPr>
              <w:rPr>
                <w:b/>
              </w:rPr>
            </w:pPr>
            <w:r>
              <w:rPr>
                <w:b/>
              </w:rPr>
              <w:t xml:space="preserve">Modules attached </w:t>
            </w:r>
          </w:p>
          <w:p w14:paraId="0191A2F5" w14:textId="77777777" w:rsidR="00DC3389" w:rsidRDefault="00A84AF9">
            <w:pPr>
              <w:rPr>
                <w:rFonts w:ascii="Arial" w:hAnsi="Arial" w:cs="Arial"/>
                <w:color w:val="0000FF"/>
                <w:sz w:val="20"/>
                <w:szCs w:val="20"/>
              </w:rPr>
            </w:pPr>
            <w:r>
              <w:rPr>
                <w:rFonts w:ascii="Arial" w:hAnsi="Arial" w:cs="Arial"/>
                <w:color w:val="0000FF"/>
                <w:sz w:val="20"/>
                <w:szCs w:val="20"/>
              </w:rPr>
              <w:t xml:space="preserve">(Modules 1, 4 and either 2 or 3 are required. </w:t>
            </w:r>
          </w:p>
          <w:p w14:paraId="4B2549A6" w14:textId="77777777" w:rsidR="00DC3389" w:rsidRDefault="00DC3389">
            <w:pPr>
              <w:rPr>
                <w:rFonts w:ascii="Arial" w:hAnsi="Arial"/>
                <w:b/>
                <w:color w:val="0000FF"/>
                <w:sz w:val="20"/>
                <w:szCs w:val="20"/>
              </w:rPr>
            </w:pPr>
          </w:p>
        </w:tc>
        <w:tc>
          <w:tcPr>
            <w:tcW w:w="5010" w:type="dxa"/>
            <w:gridSpan w:val="4"/>
            <w:tcBorders>
              <w:top w:val="double" w:sz="4" w:space="0" w:color="00000A"/>
              <w:left w:val="single" w:sz="4" w:space="0" w:color="00000A"/>
              <w:bottom w:val="double" w:sz="4" w:space="0" w:color="00000A"/>
              <w:right w:val="double" w:sz="4" w:space="0" w:color="00000A"/>
            </w:tcBorders>
            <w:shd w:val="clear" w:color="auto" w:fill="auto"/>
            <w:tcMar>
              <w:left w:w="98" w:type="dxa"/>
            </w:tcMar>
          </w:tcPr>
          <w:p w14:paraId="70874B6E" w14:textId="77777777" w:rsidR="00DC3389" w:rsidRDefault="00A84AF9">
            <w:r>
              <w:rPr>
                <w:b/>
              </w:rPr>
              <w:t xml:space="preserve">          1 </w:t>
            </w:r>
            <w: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instrText>FORMCHECKBOX</w:instrText>
            </w:r>
            <w:r w:rsidR="00F82597">
              <w:fldChar w:fldCharType="separate"/>
            </w:r>
            <w:r>
              <w:fldChar w:fldCharType="end"/>
            </w:r>
            <w:bookmarkStart w:id="0" w:name="__Fieldmark__2948_1815604046"/>
            <w:bookmarkStart w:id="1" w:name="__Fieldmark__40_322814804"/>
            <w:bookmarkStart w:id="2" w:name="Check2"/>
            <w:bookmarkEnd w:id="0"/>
            <w:bookmarkEnd w:id="1"/>
            <w:r>
              <w:rPr>
                <w:b/>
              </w:rPr>
              <w:t xml:space="preserve">       </w:t>
            </w:r>
            <w:bookmarkEnd w:id="2"/>
            <w:r>
              <w:rPr>
                <w:b/>
              </w:rPr>
              <w:t xml:space="preserve"> 2 </w:t>
            </w:r>
            <w: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instrText>FORMCHECKBOX</w:instrText>
            </w:r>
            <w:r w:rsidR="00F82597">
              <w:fldChar w:fldCharType="separate"/>
            </w:r>
            <w:r>
              <w:fldChar w:fldCharType="end"/>
            </w:r>
            <w:bookmarkStart w:id="3" w:name="__Fieldmark__2958_1815604046"/>
            <w:bookmarkStart w:id="4" w:name="__Fieldmark__47_322814804"/>
            <w:bookmarkEnd w:id="3"/>
            <w:bookmarkEnd w:id="4"/>
            <w:r>
              <w:rPr>
                <w:b/>
              </w:rPr>
              <w:t xml:space="preserve">       3 </w:t>
            </w:r>
            <w: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instrText>FORMCHECKBOX</w:instrText>
            </w:r>
            <w:r w:rsidR="00F82597">
              <w:fldChar w:fldCharType="separate"/>
            </w:r>
            <w:r>
              <w:fldChar w:fldCharType="end"/>
            </w:r>
            <w:bookmarkStart w:id="5" w:name="__Fieldmark__2966_1815604046"/>
            <w:bookmarkStart w:id="6" w:name="__Fieldmark__54_322814804"/>
            <w:bookmarkEnd w:id="5"/>
            <w:bookmarkEnd w:id="6"/>
            <w:r>
              <w:rPr>
                <w:b/>
              </w:rPr>
              <w:t xml:space="preserve">          4 </w:t>
            </w:r>
            <w: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  <w:checked/>
                  </w:checkBox>
                </w:ffData>
              </w:fldChar>
            </w:r>
            <w:r>
              <w:instrText>FORMCHECKBOX</w:instrText>
            </w:r>
            <w:r w:rsidR="00F82597">
              <w:fldChar w:fldCharType="separate"/>
            </w:r>
            <w:r>
              <w:fldChar w:fldCharType="end"/>
            </w:r>
            <w:bookmarkStart w:id="7" w:name="__Fieldmark__2974_1815604046"/>
            <w:bookmarkStart w:id="8" w:name="__Fieldmark__61_322814804"/>
            <w:bookmarkEnd w:id="7"/>
            <w:bookmarkEnd w:id="8"/>
            <w:r>
              <w:rPr>
                <w:b/>
              </w:rPr>
              <w:t xml:space="preserve">       </w:t>
            </w:r>
          </w:p>
          <w:p w14:paraId="1165B65F" w14:textId="77777777" w:rsidR="00DC3389" w:rsidRDefault="00A84AF9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DC3389" w14:paraId="7E331055" w14:textId="77777777">
        <w:tc>
          <w:tcPr>
            <w:tcW w:w="9468" w:type="dxa"/>
            <w:gridSpan w:val="6"/>
            <w:tcBorders>
              <w:left w:val="double" w:sz="4" w:space="0" w:color="00000A"/>
              <w:right w:val="single" w:sz="4" w:space="0" w:color="00000A"/>
            </w:tcBorders>
            <w:shd w:val="clear" w:color="auto" w:fill="auto"/>
          </w:tcPr>
          <w:p w14:paraId="7EA0E9B7" w14:textId="77777777" w:rsidR="00DC3389" w:rsidRDefault="00A84AF9">
            <w:pPr>
              <w:spacing w:before="120" w:after="120"/>
              <w:rPr>
                <w:b/>
              </w:rPr>
            </w:pPr>
            <w:r>
              <w:rPr>
                <w:b/>
              </w:rPr>
              <w:t>Author(s):</w:t>
            </w:r>
          </w:p>
        </w:tc>
      </w:tr>
      <w:tr w:rsidR="00DC3389" w14:paraId="2D25F222" w14:textId="77777777">
        <w:tc>
          <w:tcPr>
            <w:tcW w:w="9468" w:type="dxa"/>
            <w:gridSpan w:val="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14:paraId="08067AA7" w14:textId="77777777" w:rsidR="00DC3389" w:rsidRDefault="00A84AF9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 xml:space="preserve">Ingrida </w:t>
            </w:r>
            <w:proofErr w:type="spellStart"/>
            <w:r>
              <w:rPr>
                <w:rFonts w:ascii="Times New Roman" w:hAnsi="Times New Roman"/>
                <w:color w:val="000000"/>
              </w:rPr>
              <w:t>Olendraitė</w:t>
            </w:r>
            <w:proofErr w:type="spellEnd"/>
            <w:r>
              <w:rPr>
                <w:rFonts w:ascii="Times New Roman" w:hAnsi="Times New Roman"/>
                <w:color w:val="000000"/>
              </w:rPr>
              <w:t xml:space="preserve">, Nina I. </w:t>
            </w:r>
            <w:proofErr w:type="spellStart"/>
            <w:r>
              <w:rPr>
                <w:rFonts w:ascii="Times New Roman" w:hAnsi="Times New Roman"/>
                <w:color w:val="000000"/>
              </w:rPr>
              <w:t>Lukhovitskaya</w:t>
            </w:r>
            <w:proofErr w:type="spellEnd"/>
            <w:r>
              <w:rPr>
                <w:rFonts w:ascii="Times New Roman" w:hAnsi="Times New Roman"/>
                <w:color w:val="000000"/>
              </w:rPr>
              <w:t>, Sanford D. Porter, Steven M. Valles,</w:t>
            </w:r>
          </w:p>
          <w:p w14:paraId="7B9C1030" w14:textId="77777777" w:rsidR="00DC3389" w:rsidRDefault="00A84AF9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Andrew E. Firth</w:t>
            </w:r>
          </w:p>
        </w:tc>
      </w:tr>
      <w:tr w:rsidR="00DC3389" w14:paraId="1A4E4B46" w14:textId="77777777">
        <w:tc>
          <w:tcPr>
            <w:tcW w:w="9468" w:type="dxa"/>
            <w:gridSpan w:val="6"/>
            <w:tcBorders>
              <w:left w:val="double" w:sz="4" w:space="0" w:color="00000A"/>
              <w:right w:val="single" w:sz="4" w:space="0" w:color="00000A"/>
            </w:tcBorders>
            <w:shd w:val="clear" w:color="auto" w:fill="auto"/>
          </w:tcPr>
          <w:p w14:paraId="23C6BD06" w14:textId="77777777" w:rsidR="00DC3389" w:rsidRDefault="00A84AF9">
            <w:pPr>
              <w:spacing w:before="120" w:after="120"/>
              <w:rPr>
                <w:b/>
              </w:rPr>
            </w:pPr>
            <w:r>
              <w:rPr>
                <w:b/>
              </w:rPr>
              <w:t>Corresponding author with e-mail address:</w:t>
            </w:r>
          </w:p>
        </w:tc>
      </w:tr>
      <w:tr w:rsidR="00DC3389" w14:paraId="51767C35" w14:textId="77777777">
        <w:tc>
          <w:tcPr>
            <w:tcW w:w="9468" w:type="dxa"/>
            <w:gridSpan w:val="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14:paraId="48AA89D5" w14:textId="77777777" w:rsidR="00DC3389" w:rsidRDefault="00A84AF9">
            <w:pPr>
              <w:pStyle w:val="BodyTextIndent"/>
              <w:ind w:left="0" w:firstLine="0"/>
            </w:pPr>
            <w:r>
              <w:rPr>
                <w:rFonts w:ascii="Times New Roman" w:hAnsi="Times New Roman"/>
                <w:color w:val="000000"/>
              </w:rPr>
              <w:t xml:space="preserve">Andrew E. Firth, email: </w:t>
            </w:r>
            <w:hyperlink r:id="rId8">
              <w:r>
                <w:rPr>
                  <w:rStyle w:val="InternetLink"/>
                  <w:rFonts w:ascii="Times New Roman" w:hAnsi="Times New Roman"/>
                  <w:color w:val="000000"/>
                </w:rPr>
                <w:t>aef24@cam.ac.uk</w:t>
              </w:r>
            </w:hyperlink>
          </w:p>
        </w:tc>
      </w:tr>
      <w:tr w:rsidR="00DC3389" w14:paraId="7A4B1149" w14:textId="77777777">
        <w:tc>
          <w:tcPr>
            <w:tcW w:w="9468" w:type="dxa"/>
            <w:gridSpan w:val="6"/>
            <w:tcBorders>
              <w:left w:val="double" w:sz="4" w:space="0" w:color="00000A"/>
              <w:right w:val="single" w:sz="4" w:space="0" w:color="00000A"/>
            </w:tcBorders>
            <w:shd w:val="clear" w:color="auto" w:fill="auto"/>
          </w:tcPr>
          <w:p w14:paraId="4987D033" w14:textId="77777777" w:rsidR="00DC3389" w:rsidRDefault="00A84AF9">
            <w:pPr>
              <w:spacing w:before="120" w:after="120"/>
              <w:rPr>
                <w:b/>
              </w:rPr>
            </w:pPr>
            <w:r>
              <w:rPr>
                <w:b/>
              </w:rPr>
              <w:t>List the ICTV study group(s) that have seen this proposal:</w:t>
            </w:r>
          </w:p>
        </w:tc>
      </w:tr>
      <w:tr w:rsidR="00DC3389" w14:paraId="1CFB0B38" w14:textId="77777777">
        <w:tc>
          <w:tcPr>
            <w:tcW w:w="5211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14:paraId="2CE318C7" w14:textId="77777777" w:rsidR="00DC3389" w:rsidRDefault="00A84AF9">
            <w:pPr>
              <w:pStyle w:val="BodyTextIndent"/>
              <w:ind w:left="0" w:firstLine="0"/>
            </w:pPr>
            <w:r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9">
              <w:r>
                <w:rPr>
                  <w:rStyle w:val="Internet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>
              <w:rPr>
                <w:rFonts w:ascii="Arial" w:hAnsi="Arial" w:cs="Arial"/>
                <w:color w:val="0000FF"/>
                <w:sz w:val="20"/>
              </w:rPr>
              <w:t xml:space="preserve"> . If in doubt, contact the appropriate subcommittee chair (there are six virus subcommittees: animal DNA and retroviruses, animal </w:t>
            </w:r>
            <w:proofErr w:type="spellStart"/>
            <w:r>
              <w:rPr>
                <w:rFonts w:ascii="Arial" w:hAnsi="Arial" w:cs="Arial"/>
                <w:color w:val="0000FF"/>
                <w:sz w:val="20"/>
              </w:rPr>
              <w:t>ssRNA</w:t>
            </w:r>
            <w:proofErr w:type="spellEnd"/>
            <w:r>
              <w:rPr>
                <w:rFonts w:ascii="Arial" w:hAnsi="Arial" w:cs="Arial"/>
                <w:color w:val="0000FF"/>
                <w:sz w:val="20"/>
              </w:rPr>
              <w:t xml:space="preserve">-, animal </w:t>
            </w:r>
            <w:proofErr w:type="spellStart"/>
            <w:r>
              <w:rPr>
                <w:rFonts w:ascii="Arial" w:hAnsi="Arial" w:cs="Arial"/>
                <w:color w:val="0000FF"/>
                <w:sz w:val="20"/>
              </w:rPr>
              <w:t>ssRNA</w:t>
            </w:r>
            <w:proofErr w:type="spellEnd"/>
            <w:r>
              <w:rPr>
                <w:rFonts w:ascii="Arial" w:hAnsi="Arial" w:cs="Arial"/>
                <w:color w:val="0000FF"/>
                <w:sz w:val="20"/>
              </w:rPr>
              <w:t xml:space="preserve">+, fungal and </w:t>
            </w:r>
            <w:proofErr w:type="spellStart"/>
            <w:r>
              <w:rPr>
                <w:rFonts w:ascii="Arial" w:hAnsi="Arial" w:cs="Arial"/>
                <w:color w:val="0000FF"/>
                <w:sz w:val="20"/>
              </w:rPr>
              <w:t>protist</w:t>
            </w:r>
            <w:proofErr w:type="spellEnd"/>
            <w:r>
              <w:rPr>
                <w:rFonts w:ascii="Arial" w:hAnsi="Arial" w:cs="Arial"/>
                <w:color w:val="0000FF"/>
                <w:sz w:val="20"/>
              </w:rPr>
              <w:t>, plant, bacterial and archaeal)</w:t>
            </w:r>
          </w:p>
        </w:tc>
        <w:tc>
          <w:tcPr>
            <w:tcW w:w="4257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  <w:vAlign w:val="center"/>
          </w:tcPr>
          <w:p w14:paraId="1F3A5C7E" w14:textId="30CD316E" w:rsidR="00DC3389" w:rsidRDefault="00DC3389">
            <w:pPr>
              <w:jc w:val="both"/>
              <w:rPr>
                <w:b/>
              </w:rPr>
            </w:pPr>
          </w:p>
        </w:tc>
      </w:tr>
      <w:tr w:rsidR="00DC3389" w14:paraId="6029CB95" w14:textId="77777777">
        <w:tc>
          <w:tcPr>
            <w:tcW w:w="9468" w:type="dxa"/>
            <w:gridSpan w:val="6"/>
            <w:tcBorders>
              <w:left w:val="double" w:sz="4" w:space="0" w:color="00000A"/>
              <w:right w:val="single" w:sz="4" w:space="0" w:color="00000A"/>
            </w:tcBorders>
            <w:shd w:val="clear" w:color="auto" w:fill="auto"/>
          </w:tcPr>
          <w:p w14:paraId="65EA14B8" w14:textId="77777777" w:rsidR="00DC3389" w:rsidRDefault="00A84AF9">
            <w:pPr>
              <w:spacing w:before="120" w:after="120"/>
              <w:rPr>
                <w:b/>
              </w:rPr>
            </w:pPr>
            <w:r>
              <w:rPr>
                <w:b/>
              </w:rPr>
              <w:t>ICTV Study Group comments (if any) and response of the proposer:</w:t>
            </w:r>
          </w:p>
        </w:tc>
      </w:tr>
      <w:tr w:rsidR="00DC3389" w14:paraId="0050F807" w14:textId="77777777">
        <w:trPr>
          <w:trHeight w:val="270"/>
        </w:trPr>
        <w:tc>
          <w:tcPr>
            <w:tcW w:w="9468" w:type="dxa"/>
            <w:gridSpan w:val="6"/>
            <w:tcBorders>
              <w:top w:val="single" w:sz="4" w:space="0" w:color="00000A"/>
              <w:left w:val="doub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E73ECD2" w14:textId="77777777" w:rsidR="00DC3389" w:rsidRDefault="00A84AF9">
            <w:pPr>
              <w:pStyle w:val="BodyTextIndent"/>
              <w:ind w:left="0" w:firstLine="0"/>
            </w:pPr>
            <w:r>
              <w:fldChar w:fldCharType="begin">
                <w:ffData>
                  <w:name w:val="__Fieldmark__3003_18"/>
                  <w:enabled/>
                  <w:calcOnExit w:val="0"/>
                  <w:textInput/>
                </w:ffData>
              </w:fldChar>
            </w:r>
            <w:r>
              <w:instrText>FORMTEXT</w:instrText>
            </w:r>
            <w:r>
              <w:fldChar w:fldCharType="separate"/>
            </w:r>
            <w:bookmarkStart w:id="9" w:name="Text8"/>
            <w:bookmarkStart w:id="10" w:name="__Fieldmark__3003_1815604046"/>
            <w:bookmarkEnd w:id="9"/>
            <w:bookmarkEnd w:id="10"/>
            <w:r>
              <w:rPr>
                <w:rFonts w:ascii="Times New Roman" w:hAnsi="Times New Roman"/>
                <w:color w:val="000000"/>
              </w:rPr>
              <w:t>     </w:t>
            </w:r>
            <w:bookmarkStart w:id="11" w:name="Text81"/>
            <w:bookmarkEnd w:id="11"/>
            <w:r>
              <w:fldChar w:fldCharType="end"/>
            </w:r>
          </w:p>
        </w:tc>
      </w:tr>
      <w:tr w:rsidR="00DC3389" w14:paraId="0961FC0B" w14:textId="77777777">
        <w:trPr>
          <w:trHeight w:val="270"/>
        </w:trPr>
        <w:tc>
          <w:tcPr>
            <w:tcW w:w="9468" w:type="dxa"/>
            <w:gridSpan w:val="6"/>
            <w:tcBorders>
              <w:top w:val="single" w:sz="4" w:space="0" w:color="00000A"/>
              <w:left w:val="double" w:sz="4" w:space="0" w:color="00000A"/>
              <w:right w:val="single" w:sz="4" w:space="0" w:color="00000A"/>
            </w:tcBorders>
            <w:shd w:val="clear" w:color="auto" w:fill="auto"/>
          </w:tcPr>
          <w:p w14:paraId="3D47DFD0" w14:textId="77777777" w:rsidR="00DC3389" w:rsidRDefault="00DC3389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  <w:tr w:rsidR="00DC3389" w14:paraId="712C9729" w14:textId="77777777">
        <w:trPr>
          <w:trHeight w:val="270"/>
        </w:trPr>
        <w:tc>
          <w:tcPr>
            <w:tcW w:w="5784" w:type="dxa"/>
            <w:gridSpan w:val="4"/>
            <w:tcBorders>
              <w:left w:val="double" w:sz="4" w:space="0" w:color="00000A"/>
              <w:right w:val="single" w:sz="4" w:space="0" w:color="00000A"/>
            </w:tcBorders>
            <w:shd w:val="clear" w:color="auto" w:fill="auto"/>
          </w:tcPr>
          <w:p w14:paraId="0F0EECD1" w14:textId="77777777" w:rsidR="00DC3389" w:rsidRDefault="00A84AF9">
            <w:pPr>
              <w:pStyle w:val="BodyTextIndent"/>
              <w:ind w:left="0" w:firstLine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Date first submitted to ICTV:</w:t>
            </w:r>
          </w:p>
        </w:tc>
        <w:tc>
          <w:tcPr>
            <w:tcW w:w="3684" w:type="dxa"/>
            <w:gridSpan w:val="2"/>
            <w:tcBorders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</w:tcPr>
          <w:p w14:paraId="4A9FD7F4" w14:textId="77777777" w:rsidR="00DC3389" w:rsidRDefault="00A84AF9">
            <w:pPr>
              <w:pStyle w:val="BodyTextIndent"/>
              <w:ind w:left="0" w:firstLine="0"/>
            </w:pPr>
            <w:r>
              <w:fldChar w:fldCharType="begin">
                <w:ffData>
                  <w:name w:val="__Fieldmark__3017_18"/>
                  <w:enabled/>
                  <w:calcOnExit w:val="0"/>
                  <w:textInput/>
                </w:ffData>
              </w:fldChar>
            </w:r>
            <w:r>
              <w:instrText>FORMTEXT</w:instrText>
            </w:r>
            <w:r>
              <w:fldChar w:fldCharType="separate"/>
            </w:r>
            <w:bookmarkStart w:id="12" w:name="Text17"/>
            <w:bookmarkStart w:id="13" w:name="__Fieldmark__3017_1815604046"/>
            <w:bookmarkEnd w:id="12"/>
            <w:bookmarkEnd w:id="13"/>
            <w:r>
              <w:rPr>
                <w:rFonts w:ascii="Times New Roman" w:hAnsi="Times New Roman"/>
                <w:color w:val="000000"/>
              </w:rPr>
              <w:t>    19 May 2017 </w:t>
            </w:r>
            <w:bookmarkStart w:id="14" w:name="Text171"/>
            <w:bookmarkEnd w:id="14"/>
            <w:r>
              <w:fldChar w:fldCharType="end"/>
            </w:r>
          </w:p>
        </w:tc>
      </w:tr>
      <w:tr w:rsidR="00DC3389" w14:paraId="27149E99" w14:textId="77777777">
        <w:trPr>
          <w:trHeight w:val="270"/>
        </w:trPr>
        <w:tc>
          <w:tcPr>
            <w:tcW w:w="5784" w:type="dxa"/>
            <w:gridSpan w:val="4"/>
            <w:tcBorders>
              <w:top w:val="single" w:sz="4" w:space="0" w:color="00000A"/>
              <w:left w:val="doub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6AFF2D5" w14:textId="77777777" w:rsidR="00DC3389" w:rsidRDefault="00A84AF9">
            <w:pPr>
              <w:pStyle w:val="BodyTextIndent"/>
              <w:ind w:left="0" w:firstLine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Date of this revision (if different to above):</w:t>
            </w:r>
          </w:p>
        </w:tc>
        <w:tc>
          <w:tcPr>
            <w:tcW w:w="3684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</w:tcPr>
          <w:p w14:paraId="3703C7CC" w14:textId="1A30EA05" w:rsidR="00DC3389" w:rsidRDefault="00050550" w:rsidP="00345FE1">
            <w:pPr>
              <w:pStyle w:val="BodyTextIndent"/>
              <w:ind w:left="0" w:firstLine="0"/>
            </w:pPr>
            <w:r>
              <w:t>2</w:t>
            </w:r>
            <w:r w:rsidR="00345FE1">
              <w:t xml:space="preserve">3 </w:t>
            </w:r>
            <w:r w:rsidR="004274DE">
              <w:t>November 2017</w:t>
            </w:r>
          </w:p>
        </w:tc>
      </w:tr>
    </w:tbl>
    <w:p w14:paraId="5D1523FB" w14:textId="77777777" w:rsidR="00DC3389" w:rsidRDefault="00DC3389">
      <w:pPr>
        <w:pStyle w:val="BodyTextIndent"/>
        <w:ind w:left="0" w:firstLine="0"/>
        <w:rPr>
          <w:rFonts w:ascii="Times New Roman" w:hAnsi="Times New Roman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DC3389" w14:paraId="46E9D472" w14:textId="77777777">
        <w:tc>
          <w:tcPr>
            <w:tcW w:w="9468" w:type="dxa"/>
            <w:shd w:val="clear" w:color="auto" w:fill="auto"/>
          </w:tcPr>
          <w:p w14:paraId="0F122A34" w14:textId="77777777" w:rsidR="00DC3389" w:rsidRDefault="00A84AF9">
            <w:pPr>
              <w:spacing w:before="120" w:after="120"/>
              <w:rPr>
                <w:b/>
              </w:rPr>
            </w:pPr>
            <w:r>
              <w:rPr>
                <w:b/>
              </w:rPr>
              <w:t>ICTV-EC comments and response of the proposer:</w:t>
            </w:r>
          </w:p>
        </w:tc>
      </w:tr>
      <w:tr w:rsidR="00DC3389" w14:paraId="643AD760" w14:textId="77777777">
        <w:tc>
          <w:tcPr>
            <w:tcW w:w="94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14:paraId="1388052A" w14:textId="77777777" w:rsidR="00DC3389" w:rsidRDefault="00A84AF9">
            <w:pPr>
              <w:pStyle w:val="BodyTextIndent"/>
              <w:ind w:left="0" w:firstLine="0"/>
            </w:pPr>
            <w:r>
              <w:fldChar w:fldCharType="begin">
                <w:ffData>
                  <w:name w:val="__Fieldmark__3082_18"/>
                  <w:enabled/>
                  <w:calcOnExit w:val="0"/>
                  <w:textInput/>
                </w:ffData>
              </w:fldChar>
            </w:r>
            <w:r>
              <w:instrText>FORMTEXT</w:instrText>
            </w:r>
            <w:r>
              <w:fldChar w:fldCharType="separate"/>
            </w:r>
            <w:bookmarkStart w:id="15" w:name="__Fieldmark__173_322814804"/>
            <w:bookmarkStart w:id="16" w:name="__Fieldmark__3082_1815604046"/>
            <w:bookmarkEnd w:id="15"/>
            <w:bookmarkEnd w:id="16"/>
            <w:r>
              <w:t>     </w:t>
            </w:r>
            <w:bookmarkStart w:id="17" w:name="__Fieldmark__173_3228148041"/>
            <w:bookmarkEnd w:id="17"/>
            <w:r>
              <w:fldChar w:fldCharType="end"/>
            </w:r>
          </w:p>
        </w:tc>
      </w:tr>
    </w:tbl>
    <w:p w14:paraId="406563C7" w14:textId="77777777" w:rsidR="00DC3389" w:rsidRDefault="00DC3389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p w14:paraId="0CB1A456" w14:textId="77777777" w:rsidR="00DC3389" w:rsidRDefault="00DC3389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p w14:paraId="15FA1EF5" w14:textId="77777777" w:rsidR="00DC3389" w:rsidRDefault="00A84AF9">
      <w:pPr>
        <w:rPr>
          <w:rFonts w:eastAsia="Times"/>
          <w:color w:val="000000"/>
          <w:sz w:val="22"/>
          <w:szCs w:val="22"/>
          <w:lang w:eastAsia="en-GB"/>
        </w:rPr>
      </w:pPr>
      <w:r>
        <w:rPr>
          <w:rFonts w:ascii="Arial" w:hAnsi="Arial" w:cs="Arial"/>
          <w:b/>
          <w:color w:val="000000"/>
          <w:sz w:val="20"/>
        </w:rPr>
        <w:t>Part</w:t>
      </w:r>
      <w:r>
        <w:rPr>
          <w:rFonts w:ascii="Arial" w:hAnsi="Arial" w:cs="Arial"/>
          <w:b/>
          <w:color w:val="000000"/>
          <w:sz w:val="22"/>
          <w:szCs w:val="22"/>
        </w:rPr>
        <w:t xml:space="preserve"> 2</w:t>
      </w:r>
      <w:r>
        <w:rPr>
          <w:rFonts w:ascii="Arial" w:hAnsi="Arial" w:cs="Arial"/>
          <w:color w:val="000000"/>
          <w:sz w:val="22"/>
          <w:szCs w:val="22"/>
        </w:rPr>
        <w:t xml:space="preserve">: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tbl>
      <w:tblPr>
        <w:tblW w:w="9468" w:type="dxa"/>
        <w:tblBorders>
          <w:bottom w:val="single" w:sz="4" w:space="0" w:color="00000A"/>
          <w:insideH w:val="single" w:sz="4" w:space="0" w:color="00000A"/>
        </w:tblBorders>
        <w:tblCellMar>
          <w:left w:w="113" w:type="dxa"/>
        </w:tblCellMar>
        <w:tblLook w:val="04A0" w:firstRow="1" w:lastRow="0" w:firstColumn="1" w:lastColumn="0" w:noHBand="0" w:noVBand="1"/>
      </w:tblPr>
      <w:tblGrid>
        <w:gridCol w:w="9468"/>
      </w:tblGrid>
      <w:tr w:rsidR="00DC3389" w14:paraId="1EE2FE83" w14:textId="77777777">
        <w:tc>
          <w:tcPr>
            <w:tcW w:w="9468" w:type="dxa"/>
            <w:tcBorders>
              <w:bottom w:val="single" w:sz="4" w:space="0" w:color="00000A"/>
            </w:tcBorders>
            <w:shd w:val="clear" w:color="auto" w:fill="auto"/>
            <w:vAlign w:val="center"/>
          </w:tcPr>
          <w:p w14:paraId="37825AD2" w14:textId="77777777" w:rsidR="00DC3389" w:rsidRDefault="00A84AF9">
            <w:pPr>
              <w:pStyle w:val="BodyTextIndent"/>
              <w:spacing w:after="120"/>
              <w:ind w:left="0" w:firstLine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color w:val="999999"/>
              </w:rPr>
              <w:t>Present the proposed new taxonomy on accompanying spreadsheet</w:t>
            </w:r>
          </w:p>
        </w:tc>
      </w:tr>
      <w:tr w:rsidR="00DC3389" w14:paraId="1B1D21FD" w14:textId="77777777">
        <w:trPr>
          <w:trHeight w:val="598"/>
        </w:trPr>
        <w:tc>
          <w:tcPr>
            <w:tcW w:w="9468" w:type="dxa"/>
            <w:tcBorders>
              <w:top w:val="double" w:sz="4" w:space="0" w:color="00000A"/>
              <w:left w:val="double" w:sz="4" w:space="0" w:color="00000A"/>
              <w:bottom w:val="double" w:sz="4" w:space="0" w:color="00000A"/>
              <w:right w:val="double" w:sz="4" w:space="0" w:color="00000A"/>
            </w:tcBorders>
            <w:shd w:val="clear" w:color="auto" w:fill="FFFFFF"/>
            <w:tcMar>
              <w:left w:w="83" w:type="dxa"/>
            </w:tcMar>
          </w:tcPr>
          <w:p w14:paraId="054AA15D" w14:textId="77777777" w:rsidR="00DC3389" w:rsidRDefault="00A84AF9">
            <w:pPr>
              <w:spacing w:before="120"/>
            </w:pPr>
            <w:r>
              <w:rPr>
                <w:b/>
              </w:rPr>
              <w:t xml:space="preserve">Name of accompanying spreadsheet: </w:t>
            </w:r>
            <w:r w:rsidRPr="002271C7">
              <w:t>TP_Template_Excel_module_2017.v2_polycipiviridae</w:t>
            </w:r>
          </w:p>
        </w:tc>
      </w:tr>
    </w:tbl>
    <w:p w14:paraId="47AD9909" w14:textId="77777777" w:rsidR="00DC3389" w:rsidRDefault="00A84AF9">
      <w:pPr>
        <w:pStyle w:val="BodyTextIndent"/>
        <w:spacing w:before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Please display the taxonomic changes you are proposing on the accompanying spreadsheet module 2017_TP_Template_Excel_module. Submit both this and the spreadsheet to the appropriate ICTV Subcommittee Chair.</w:t>
      </w:r>
    </w:p>
    <w:p w14:paraId="69D4DBF6" w14:textId="77777777" w:rsidR="00DC3389" w:rsidRDefault="00DC3389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p w14:paraId="26076993" w14:textId="77777777" w:rsidR="00DC3389" w:rsidRDefault="00DC3389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p w14:paraId="0569F3E3" w14:textId="77777777" w:rsidR="00DC3389" w:rsidRDefault="00DC3389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F6B1FEA" w14:textId="77777777" w:rsidR="00DC3389" w:rsidRDefault="00A84AF9">
      <w:pPr>
        <w:pStyle w:val="BodyTextIndent"/>
        <w:ind w:left="0" w:firstLine="0"/>
      </w:pPr>
      <w:r>
        <w:rPr>
          <w:rFonts w:ascii="Arial" w:hAnsi="Arial" w:cs="Arial"/>
          <w:b/>
          <w:color w:val="000000"/>
          <w:sz w:val="20"/>
        </w:rPr>
        <w:t>Part</w:t>
      </w:r>
      <w:r>
        <w:rPr>
          <w:rFonts w:ascii="Arial" w:hAnsi="Arial" w:cs="Arial"/>
          <w:b/>
          <w:color w:val="000000"/>
          <w:sz w:val="22"/>
          <w:szCs w:val="22"/>
        </w:rPr>
        <w:t xml:space="preserve"> 4: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APPENDIX</w:t>
      </w:r>
      <w:r>
        <w:rPr>
          <w:rFonts w:ascii="Arial" w:hAnsi="Arial" w:cs="Arial"/>
          <w:color w:val="000000"/>
          <w:sz w:val="22"/>
          <w:szCs w:val="22"/>
        </w:rPr>
        <w:t>: supporting material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DC3389" w14:paraId="18A92284" w14:textId="77777777">
        <w:trPr>
          <w:tblHeader/>
        </w:trPr>
        <w:tc>
          <w:tcPr>
            <w:tcW w:w="9228" w:type="dxa"/>
            <w:shd w:val="clear" w:color="auto" w:fill="auto"/>
          </w:tcPr>
          <w:p w14:paraId="0BB422D6" w14:textId="77777777" w:rsidR="00DC3389" w:rsidRDefault="00A84AF9">
            <w:pPr>
              <w:spacing w:after="120"/>
              <w:rPr>
                <w:b/>
                <w:color w:val="808080"/>
                <w:szCs w:val="20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DC3389" w14:paraId="658C9B08" w14:textId="77777777">
        <w:trPr>
          <w:tblHeader/>
        </w:trPr>
        <w:tc>
          <w:tcPr>
            <w:tcW w:w="9228" w:type="dxa"/>
            <w:shd w:val="clear" w:color="auto" w:fill="auto"/>
          </w:tcPr>
          <w:p w14:paraId="2B9DF354" w14:textId="77777777" w:rsidR="00DC3389" w:rsidRDefault="00A84AF9">
            <w:pPr>
              <w:spacing w:after="120"/>
              <w:rPr>
                <w:b/>
              </w:rPr>
            </w:pPr>
            <w:r>
              <w:rPr>
                <w:b/>
              </w:rPr>
              <w:t>References:</w:t>
            </w:r>
          </w:p>
        </w:tc>
      </w:tr>
      <w:tr w:rsidR="00DC3389" w14:paraId="7D5D9B82" w14:textId="77777777">
        <w:tc>
          <w:tcPr>
            <w:tcW w:w="9228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  <w:tcMar>
              <w:left w:w="88" w:type="dxa"/>
            </w:tcMar>
          </w:tcPr>
          <w:p w14:paraId="5B8FD49E" w14:textId="77777777" w:rsidR="003C196D" w:rsidRPr="003C196D" w:rsidRDefault="003C196D" w:rsidP="003C196D">
            <w:pPr>
              <w:spacing w:after="80"/>
              <w:rPr>
                <w:sz w:val="22"/>
                <w:szCs w:val="22"/>
              </w:rPr>
            </w:pPr>
            <w:r w:rsidRPr="003C196D">
              <w:rPr>
                <w:rFonts w:ascii="Liberation Serif" w:hAnsi="Liberation Serif"/>
                <w:b/>
                <w:bCs/>
                <w:sz w:val="22"/>
                <w:szCs w:val="22"/>
              </w:rPr>
              <w:t>Edgar RC</w:t>
            </w:r>
            <w:r w:rsidRPr="003C196D">
              <w:rPr>
                <w:rFonts w:ascii="Liberation Serif" w:hAnsi="Liberation Serif"/>
                <w:sz w:val="22"/>
                <w:szCs w:val="22"/>
              </w:rPr>
              <w:t xml:space="preserve">. MUSCLE: Multiple sequence alignment with high accuracy and high throughput. </w:t>
            </w:r>
            <w:r w:rsidRPr="003C196D">
              <w:rPr>
                <w:rFonts w:ascii="Liberation Serif" w:hAnsi="Liberation Serif"/>
                <w:i/>
                <w:iCs/>
                <w:sz w:val="22"/>
                <w:szCs w:val="22"/>
              </w:rPr>
              <w:t>Nucleic Acids Res</w:t>
            </w:r>
            <w:r w:rsidRPr="003C196D">
              <w:rPr>
                <w:rFonts w:ascii="Liberation Serif" w:hAnsi="Liberation Serif"/>
                <w:sz w:val="22"/>
                <w:szCs w:val="22"/>
              </w:rPr>
              <w:t xml:space="preserve"> 2004; 32: 1792–1797.</w:t>
            </w:r>
          </w:p>
          <w:p w14:paraId="37DC8F49" w14:textId="77777777" w:rsidR="003C196D" w:rsidRPr="003C196D" w:rsidRDefault="003C196D" w:rsidP="003C196D">
            <w:pPr>
              <w:spacing w:after="80"/>
              <w:rPr>
                <w:sz w:val="22"/>
                <w:szCs w:val="22"/>
              </w:rPr>
            </w:pPr>
            <w:proofErr w:type="spellStart"/>
            <w:r w:rsidRPr="003C196D">
              <w:rPr>
                <w:b/>
                <w:bCs/>
                <w:sz w:val="22"/>
                <w:szCs w:val="22"/>
              </w:rPr>
              <w:t>Koonin</w:t>
            </w:r>
            <w:proofErr w:type="spellEnd"/>
            <w:r w:rsidRPr="003C196D">
              <w:rPr>
                <w:b/>
                <w:bCs/>
                <w:sz w:val="22"/>
                <w:szCs w:val="22"/>
              </w:rPr>
              <w:t xml:space="preserve"> EV, Wolf YI, Nagasaki K, </w:t>
            </w:r>
            <w:proofErr w:type="spellStart"/>
            <w:r w:rsidRPr="003C196D">
              <w:rPr>
                <w:b/>
                <w:bCs/>
                <w:sz w:val="22"/>
                <w:szCs w:val="22"/>
              </w:rPr>
              <w:t>Dolja</w:t>
            </w:r>
            <w:proofErr w:type="spellEnd"/>
            <w:r w:rsidRPr="003C196D">
              <w:rPr>
                <w:b/>
                <w:bCs/>
                <w:sz w:val="22"/>
                <w:szCs w:val="22"/>
              </w:rPr>
              <w:t xml:space="preserve"> VV</w:t>
            </w:r>
            <w:r w:rsidRPr="003C196D">
              <w:rPr>
                <w:sz w:val="22"/>
                <w:szCs w:val="22"/>
              </w:rPr>
              <w:t xml:space="preserve">. The Big Bang of </w:t>
            </w:r>
            <w:proofErr w:type="spellStart"/>
            <w:r w:rsidRPr="003C196D">
              <w:rPr>
                <w:sz w:val="22"/>
                <w:szCs w:val="22"/>
              </w:rPr>
              <w:t>picorna</w:t>
            </w:r>
            <w:proofErr w:type="spellEnd"/>
            <w:r w:rsidRPr="003C196D">
              <w:rPr>
                <w:sz w:val="22"/>
                <w:szCs w:val="22"/>
              </w:rPr>
              <w:t xml:space="preserve">-like virus evolution antedates the radiation of eukaryotic </w:t>
            </w:r>
            <w:proofErr w:type="spellStart"/>
            <w:r w:rsidRPr="003C196D">
              <w:rPr>
                <w:sz w:val="22"/>
                <w:szCs w:val="22"/>
              </w:rPr>
              <w:t>supergroups</w:t>
            </w:r>
            <w:proofErr w:type="spellEnd"/>
            <w:r w:rsidRPr="003C196D">
              <w:rPr>
                <w:sz w:val="22"/>
                <w:szCs w:val="22"/>
              </w:rPr>
              <w:t xml:space="preserve">. </w:t>
            </w:r>
            <w:r w:rsidRPr="003C196D">
              <w:rPr>
                <w:i/>
                <w:iCs/>
                <w:sz w:val="22"/>
                <w:szCs w:val="22"/>
              </w:rPr>
              <w:t xml:space="preserve">Nat Rev </w:t>
            </w:r>
            <w:proofErr w:type="spellStart"/>
            <w:r w:rsidRPr="003C196D">
              <w:rPr>
                <w:i/>
                <w:iCs/>
                <w:sz w:val="22"/>
                <w:szCs w:val="22"/>
              </w:rPr>
              <w:t>Microbiol</w:t>
            </w:r>
            <w:proofErr w:type="spellEnd"/>
            <w:r w:rsidRPr="003C196D">
              <w:rPr>
                <w:i/>
                <w:iCs/>
                <w:sz w:val="22"/>
                <w:szCs w:val="22"/>
              </w:rPr>
              <w:t xml:space="preserve"> </w:t>
            </w:r>
            <w:r w:rsidRPr="003C196D">
              <w:rPr>
                <w:sz w:val="22"/>
                <w:szCs w:val="22"/>
              </w:rPr>
              <w:t>2008; 6:500 925–939.</w:t>
            </w:r>
          </w:p>
          <w:p w14:paraId="2371ADDA" w14:textId="77777777" w:rsidR="003C196D" w:rsidRPr="003C196D" w:rsidRDefault="003C196D" w:rsidP="003C196D">
            <w:pPr>
              <w:spacing w:after="80"/>
              <w:rPr>
                <w:sz w:val="22"/>
                <w:szCs w:val="22"/>
              </w:rPr>
            </w:pPr>
            <w:r w:rsidRPr="003C196D">
              <w:rPr>
                <w:b/>
                <w:bCs/>
                <w:sz w:val="22"/>
                <w:szCs w:val="22"/>
              </w:rPr>
              <w:t xml:space="preserve">Le Gall O, Christian P, </w:t>
            </w:r>
            <w:proofErr w:type="spellStart"/>
            <w:r w:rsidRPr="003C196D">
              <w:rPr>
                <w:b/>
                <w:bCs/>
                <w:sz w:val="22"/>
                <w:szCs w:val="22"/>
              </w:rPr>
              <w:t>Fauquet</w:t>
            </w:r>
            <w:proofErr w:type="spellEnd"/>
            <w:r w:rsidRPr="003C196D">
              <w:rPr>
                <w:b/>
                <w:bCs/>
                <w:sz w:val="22"/>
                <w:szCs w:val="22"/>
              </w:rPr>
              <w:t xml:space="preserve"> CM, King AMQ, Knowles NJ, et al</w:t>
            </w:r>
            <w:r w:rsidRPr="003C196D">
              <w:rPr>
                <w:sz w:val="22"/>
                <w:szCs w:val="22"/>
              </w:rPr>
              <w:t xml:space="preserve">. </w:t>
            </w:r>
            <w:proofErr w:type="spellStart"/>
            <w:r w:rsidRPr="003C196D">
              <w:rPr>
                <w:sz w:val="22"/>
                <w:szCs w:val="22"/>
              </w:rPr>
              <w:t>Picornavirales</w:t>
            </w:r>
            <w:proofErr w:type="spellEnd"/>
            <w:r w:rsidRPr="003C196D">
              <w:rPr>
                <w:sz w:val="22"/>
                <w:szCs w:val="22"/>
              </w:rPr>
              <w:t xml:space="preserve">, a proposed order of positive-sense single-stranded RNA viruses with a pseudo-T = 3 virion architecture. </w:t>
            </w:r>
            <w:r w:rsidRPr="003C196D">
              <w:rPr>
                <w:i/>
                <w:iCs/>
                <w:sz w:val="22"/>
                <w:szCs w:val="22"/>
              </w:rPr>
              <w:t xml:space="preserve">Arch </w:t>
            </w:r>
            <w:proofErr w:type="spellStart"/>
            <w:r w:rsidRPr="003C196D">
              <w:rPr>
                <w:i/>
                <w:iCs/>
                <w:sz w:val="22"/>
                <w:szCs w:val="22"/>
              </w:rPr>
              <w:t>Virol</w:t>
            </w:r>
            <w:proofErr w:type="spellEnd"/>
            <w:r w:rsidRPr="003C196D">
              <w:rPr>
                <w:sz w:val="22"/>
                <w:szCs w:val="22"/>
              </w:rPr>
              <w:t xml:space="preserve"> 2008; 153: 715–727.</w:t>
            </w:r>
          </w:p>
          <w:p w14:paraId="5B273EDD" w14:textId="4002DFEC" w:rsidR="003C196D" w:rsidRPr="003C196D" w:rsidRDefault="003C196D" w:rsidP="003C196D">
            <w:pPr>
              <w:spacing w:after="80"/>
              <w:rPr>
                <w:sz w:val="22"/>
                <w:szCs w:val="22"/>
              </w:rPr>
            </w:pPr>
            <w:proofErr w:type="spellStart"/>
            <w:r w:rsidRPr="003C196D">
              <w:rPr>
                <w:b/>
                <w:bCs/>
                <w:sz w:val="22"/>
                <w:szCs w:val="22"/>
              </w:rPr>
              <w:t>Olendraite</w:t>
            </w:r>
            <w:proofErr w:type="spellEnd"/>
            <w:r w:rsidRPr="003C196D">
              <w:rPr>
                <w:b/>
                <w:bCs/>
                <w:sz w:val="22"/>
                <w:szCs w:val="22"/>
              </w:rPr>
              <w:t xml:space="preserve"> I, </w:t>
            </w:r>
            <w:proofErr w:type="spellStart"/>
            <w:r w:rsidRPr="003C196D">
              <w:rPr>
                <w:b/>
                <w:bCs/>
                <w:sz w:val="22"/>
                <w:szCs w:val="22"/>
              </w:rPr>
              <w:t>Lukhovitskaya</w:t>
            </w:r>
            <w:proofErr w:type="spellEnd"/>
            <w:r w:rsidRPr="003C196D">
              <w:rPr>
                <w:b/>
                <w:bCs/>
                <w:sz w:val="22"/>
                <w:szCs w:val="22"/>
              </w:rPr>
              <w:t xml:space="preserve"> NI, Porter SD, Valles SM, Firth AE</w:t>
            </w:r>
            <w:r w:rsidRPr="003C196D">
              <w:rPr>
                <w:sz w:val="22"/>
                <w:szCs w:val="22"/>
              </w:rPr>
              <w:t xml:space="preserve">. </w:t>
            </w:r>
            <w:proofErr w:type="spellStart"/>
            <w:r w:rsidRPr="003C196D">
              <w:rPr>
                <w:sz w:val="22"/>
                <w:szCs w:val="22"/>
              </w:rPr>
              <w:t>Polycipiviridae</w:t>
            </w:r>
            <w:proofErr w:type="spellEnd"/>
            <w:r w:rsidRPr="003C196D">
              <w:rPr>
                <w:sz w:val="22"/>
                <w:szCs w:val="22"/>
              </w:rPr>
              <w:t xml:space="preserve">: a proposed new family of </w:t>
            </w:r>
            <w:proofErr w:type="spellStart"/>
            <w:r w:rsidRPr="003C196D">
              <w:rPr>
                <w:sz w:val="22"/>
                <w:szCs w:val="22"/>
              </w:rPr>
              <w:t>polycistronic</w:t>
            </w:r>
            <w:proofErr w:type="spellEnd"/>
            <w:r w:rsidRPr="003C196D">
              <w:rPr>
                <w:sz w:val="22"/>
                <w:szCs w:val="22"/>
              </w:rPr>
              <w:t xml:space="preserve"> </w:t>
            </w:r>
            <w:proofErr w:type="spellStart"/>
            <w:r w:rsidRPr="003C196D">
              <w:rPr>
                <w:sz w:val="22"/>
                <w:szCs w:val="22"/>
              </w:rPr>
              <w:t>picorna</w:t>
            </w:r>
            <w:proofErr w:type="spellEnd"/>
            <w:r w:rsidRPr="003C196D">
              <w:rPr>
                <w:sz w:val="22"/>
                <w:szCs w:val="22"/>
              </w:rPr>
              <w:t xml:space="preserve">-like RNA viruses. </w:t>
            </w:r>
            <w:r w:rsidRPr="003C196D">
              <w:rPr>
                <w:i/>
                <w:iCs/>
                <w:sz w:val="22"/>
                <w:szCs w:val="22"/>
              </w:rPr>
              <w:t xml:space="preserve">J Gen </w:t>
            </w:r>
            <w:proofErr w:type="spellStart"/>
            <w:r w:rsidRPr="003C196D">
              <w:rPr>
                <w:i/>
                <w:iCs/>
                <w:sz w:val="22"/>
                <w:szCs w:val="22"/>
              </w:rPr>
              <w:t>Virol</w:t>
            </w:r>
            <w:proofErr w:type="spellEnd"/>
            <w:r w:rsidRPr="003C196D">
              <w:rPr>
                <w:i/>
                <w:iCs/>
                <w:sz w:val="22"/>
                <w:szCs w:val="22"/>
              </w:rPr>
              <w:t xml:space="preserve">, </w:t>
            </w:r>
            <w:r w:rsidR="00FB5B8E">
              <w:rPr>
                <w:iCs/>
                <w:sz w:val="22"/>
                <w:szCs w:val="22"/>
              </w:rPr>
              <w:t xml:space="preserve">2017; </w:t>
            </w:r>
            <w:r w:rsidR="00FB5B8E" w:rsidRPr="00163829">
              <w:rPr>
                <w:iCs/>
                <w:sz w:val="22"/>
                <w:szCs w:val="22"/>
              </w:rPr>
              <w:t>98:2368-2378</w:t>
            </w:r>
            <w:r w:rsidR="00FB5B8E">
              <w:rPr>
                <w:iCs/>
                <w:sz w:val="22"/>
                <w:szCs w:val="22"/>
              </w:rPr>
              <w:t>.</w:t>
            </w:r>
          </w:p>
          <w:p w14:paraId="0BA386BF" w14:textId="6544D01E" w:rsidR="003C196D" w:rsidRPr="003C196D" w:rsidRDefault="003C196D" w:rsidP="003C196D">
            <w:pPr>
              <w:spacing w:after="80"/>
              <w:rPr>
                <w:rFonts w:ascii="Liberation Serif" w:hAnsi="Liberation Serif"/>
                <w:sz w:val="22"/>
                <w:szCs w:val="22"/>
              </w:rPr>
            </w:pPr>
            <w:proofErr w:type="spellStart"/>
            <w:r w:rsidRPr="003C196D">
              <w:rPr>
                <w:rFonts w:ascii="Liberation Serif" w:hAnsi="Liberation Serif"/>
                <w:b/>
                <w:bCs/>
                <w:sz w:val="22"/>
                <w:szCs w:val="22"/>
              </w:rPr>
              <w:t>Ronquist</w:t>
            </w:r>
            <w:proofErr w:type="spellEnd"/>
            <w:r w:rsidRPr="003C196D">
              <w:rPr>
                <w:rFonts w:ascii="Liberation Serif" w:hAnsi="Liberation Serif"/>
                <w:b/>
                <w:bCs/>
                <w:sz w:val="22"/>
                <w:szCs w:val="22"/>
              </w:rPr>
              <w:t xml:space="preserve"> F, </w:t>
            </w:r>
            <w:proofErr w:type="spellStart"/>
            <w:r w:rsidRPr="003C196D">
              <w:rPr>
                <w:rFonts w:ascii="Liberation Serif" w:hAnsi="Liberation Serif"/>
                <w:b/>
                <w:bCs/>
                <w:sz w:val="22"/>
                <w:szCs w:val="22"/>
              </w:rPr>
              <w:t>Teslenko</w:t>
            </w:r>
            <w:proofErr w:type="spellEnd"/>
            <w:r w:rsidRPr="003C196D">
              <w:rPr>
                <w:rFonts w:ascii="Liberation Serif" w:hAnsi="Liberation Serif"/>
                <w:b/>
                <w:bCs/>
                <w:sz w:val="22"/>
                <w:szCs w:val="22"/>
              </w:rPr>
              <w:t xml:space="preserve"> M, Van Der Mark P, Ayres DL, Darling A, et al</w:t>
            </w:r>
            <w:r w:rsidRPr="003C196D">
              <w:rPr>
                <w:rFonts w:ascii="Liberation Serif" w:hAnsi="Liberation Serif"/>
                <w:sz w:val="22"/>
                <w:szCs w:val="22"/>
              </w:rPr>
              <w:t xml:space="preserve">. </w:t>
            </w:r>
            <w:proofErr w:type="spellStart"/>
            <w:r w:rsidRPr="003C196D">
              <w:rPr>
                <w:rFonts w:ascii="Liberation Serif" w:hAnsi="Liberation Serif"/>
                <w:sz w:val="22"/>
                <w:szCs w:val="22"/>
              </w:rPr>
              <w:t>Mr</w:t>
            </w:r>
            <w:r w:rsidR="00FB5B8E">
              <w:rPr>
                <w:rFonts w:ascii="Liberation Serif" w:hAnsi="Liberation Serif"/>
                <w:sz w:val="22"/>
                <w:szCs w:val="22"/>
              </w:rPr>
              <w:t>B</w:t>
            </w:r>
            <w:r w:rsidRPr="003C196D">
              <w:rPr>
                <w:rFonts w:ascii="Liberation Serif" w:hAnsi="Liberation Serif"/>
                <w:sz w:val="22"/>
                <w:szCs w:val="22"/>
              </w:rPr>
              <w:t>ayes</w:t>
            </w:r>
            <w:proofErr w:type="spellEnd"/>
            <w:r w:rsidRPr="003C196D">
              <w:rPr>
                <w:rFonts w:ascii="Liberation Serif" w:hAnsi="Liberation Serif"/>
                <w:sz w:val="22"/>
                <w:szCs w:val="22"/>
              </w:rPr>
              <w:t xml:space="preserve"> 3.2: Efficient </w:t>
            </w:r>
            <w:proofErr w:type="spellStart"/>
            <w:r w:rsidRPr="003C196D">
              <w:rPr>
                <w:rFonts w:ascii="Liberation Serif" w:hAnsi="Liberation Serif"/>
                <w:sz w:val="22"/>
                <w:szCs w:val="22"/>
              </w:rPr>
              <w:t>bayesian</w:t>
            </w:r>
            <w:proofErr w:type="spellEnd"/>
            <w:r w:rsidRPr="003C196D">
              <w:rPr>
                <w:rFonts w:ascii="Liberation Serif" w:hAnsi="Liberation Serif"/>
                <w:sz w:val="22"/>
                <w:szCs w:val="22"/>
              </w:rPr>
              <w:t xml:space="preserve"> phylogenetic inference and model choice across a large model space. </w:t>
            </w:r>
            <w:proofErr w:type="spellStart"/>
            <w:r w:rsidRPr="003C196D">
              <w:rPr>
                <w:rFonts w:ascii="Liberation Serif" w:hAnsi="Liberation Serif"/>
                <w:i/>
                <w:iCs/>
                <w:sz w:val="22"/>
                <w:szCs w:val="22"/>
              </w:rPr>
              <w:t>Syst</w:t>
            </w:r>
            <w:proofErr w:type="spellEnd"/>
            <w:r w:rsidRPr="003C196D">
              <w:rPr>
                <w:rFonts w:ascii="Liberation Serif" w:hAnsi="Liberation Serif"/>
                <w:i/>
                <w:iCs/>
                <w:sz w:val="22"/>
                <w:szCs w:val="22"/>
              </w:rPr>
              <w:t xml:space="preserve"> </w:t>
            </w:r>
            <w:proofErr w:type="spellStart"/>
            <w:r w:rsidRPr="003C196D">
              <w:rPr>
                <w:rFonts w:ascii="Liberation Serif" w:hAnsi="Liberation Serif"/>
                <w:i/>
                <w:iCs/>
                <w:sz w:val="22"/>
                <w:szCs w:val="22"/>
              </w:rPr>
              <w:t>Biol</w:t>
            </w:r>
            <w:proofErr w:type="spellEnd"/>
            <w:r w:rsidRPr="003C196D">
              <w:rPr>
                <w:rFonts w:ascii="Liberation Serif" w:hAnsi="Liberation Serif"/>
                <w:sz w:val="22"/>
                <w:szCs w:val="22"/>
              </w:rPr>
              <w:t xml:space="preserve"> 2012; 61:539–542.</w:t>
            </w:r>
          </w:p>
          <w:p w14:paraId="1B74F46D" w14:textId="77777777" w:rsidR="003C196D" w:rsidRPr="003C196D" w:rsidRDefault="003C196D" w:rsidP="003C196D">
            <w:pPr>
              <w:spacing w:after="80"/>
              <w:rPr>
                <w:sz w:val="22"/>
                <w:szCs w:val="22"/>
              </w:rPr>
            </w:pPr>
            <w:r w:rsidRPr="003C196D">
              <w:rPr>
                <w:b/>
                <w:bCs/>
                <w:sz w:val="22"/>
                <w:szCs w:val="22"/>
              </w:rPr>
              <w:t>Valles SM, Strong CA, Hashimoto Y</w:t>
            </w:r>
            <w:r w:rsidRPr="003C196D">
              <w:rPr>
                <w:sz w:val="22"/>
                <w:szCs w:val="22"/>
              </w:rPr>
              <w:t xml:space="preserve">. A new positive-strand RNA virus with unique genome characteristics from the red imported fire ant, </w:t>
            </w:r>
            <w:proofErr w:type="spellStart"/>
            <w:r w:rsidRPr="003C196D">
              <w:rPr>
                <w:sz w:val="22"/>
                <w:szCs w:val="22"/>
              </w:rPr>
              <w:t>Solenopsis</w:t>
            </w:r>
            <w:proofErr w:type="spellEnd"/>
            <w:r w:rsidRPr="003C196D">
              <w:rPr>
                <w:sz w:val="22"/>
                <w:szCs w:val="22"/>
              </w:rPr>
              <w:t xml:space="preserve"> </w:t>
            </w:r>
            <w:proofErr w:type="spellStart"/>
            <w:r w:rsidRPr="003C196D">
              <w:rPr>
                <w:sz w:val="22"/>
                <w:szCs w:val="22"/>
              </w:rPr>
              <w:t>invicta</w:t>
            </w:r>
            <w:proofErr w:type="spellEnd"/>
            <w:r w:rsidRPr="003C196D">
              <w:rPr>
                <w:sz w:val="22"/>
                <w:szCs w:val="22"/>
              </w:rPr>
              <w:t>.</w:t>
            </w:r>
            <w:r w:rsidRPr="003C196D">
              <w:rPr>
                <w:i/>
                <w:iCs/>
                <w:sz w:val="22"/>
                <w:szCs w:val="22"/>
              </w:rPr>
              <w:t xml:space="preserve"> Virology </w:t>
            </w:r>
            <w:r w:rsidRPr="003C196D">
              <w:rPr>
                <w:sz w:val="22"/>
                <w:szCs w:val="22"/>
              </w:rPr>
              <w:t>2007; 365: 457–463.</w:t>
            </w:r>
          </w:p>
          <w:p w14:paraId="467E7BBB" w14:textId="77777777" w:rsidR="00DC3389" w:rsidRDefault="00DC3389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</w:p>
        </w:tc>
      </w:tr>
    </w:tbl>
    <w:p w14:paraId="0B23BD9F" w14:textId="77777777" w:rsidR="00DC3389" w:rsidRDefault="00DC3389"/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DC3389" w14:paraId="0FE10BA5" w14:textId="77777777">
        <w:trPr>
          <w:trHeight w:val="1566"/>
        </w:trPr>
        <w:tc>
          <w:tcPr>
            <w:tcW w:w="9228" w:type="dxa"/>
            <w:shd w:val="clear" w:color="auto" w:fill="auto"/>
          </w:tcPr>
          <w:p w14:paraId="752E25BF" w14:textId="77777777" w:rsidR="00DC3389" w:rsidRDefault="00A84AF9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>
              <w:rPr>
                <w:b/>
              </w:rPr>
              <w:t>Annex: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066AF7F1" w14:textId="77777777" w:rsidR="00DC3389" w:rsidRDefault="00A84AF9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Please explain the reasons for the taxonomic changes you are proposing and provide evidence to support them. The following information should be provided, where relevant:</w:t>
            </w:r>
          </w:p>
          <w:p w14:paraId="50B68D3A" w14:textId="77777777" w:rsidR="00DC3389" w:rsidRDefault="00A84AF9">
            <w:pPr>
              <w:pStyle w:val="BodyTextIndent"/>
              <w:numPr>
                <w:ilvl w:val="0"/>
                <w:numId w:val="1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b/>
                <w:color w:val="0000FF"/>
                <w:sz w:val="20"/>
              </w:rPr>
              <w:t>Species demarcation criteria</w:t>
            </w:r>
            <w:r>
              <w:rPr>
                <w:rFonts w:ascii="Arial" w:hAnsi="Arial" w:cs="Arial"/>
                <w:color w:val="0000FF"/>
                <w:sz w:val="20"/>
              </w:rPr>
              <w:t>: Explain how new species differ from others in the genus and demonstrate that these differences meet the criteria previously established for demarcating between species. If no criteria</w:t>
            </w:r>
            <w:r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have previously been established, and if there will now be more than one species in the genus, please state the demarcation criteria you are proposing. </w:t>
            </w:r>
          </w:p>
          <w:p w14:paraId="0654B826" w14:textId="77777777" w:rsidR="00DC3389" w:rsidRDefault="00A84AF9">
            <w:pPr>
              <w:pStyle w:val="BodyTextIndent"/>
              <w:numPr>
                <w:ilvl w:val="0"/>
                <w:numId w:val="1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7B29479E" w14:textId="77777777" w:rsidR="00DC3389" w:rsidRDefault="00A84AF9">
            <w:pPr>
              <w:pStyle w:val="BodyTextIndent"/>
              <w:numPr>
                <w:ilvl w:val="1"/>
                <w:numId w:val="1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There is no formal requirement to state demarcation criteria when proposing new genera or other higher taxa. However, a similar concept should apply in pursuit of a rational and consistent virus taxonomy. </w:t>
            </w:r>
          </w:p>
          <w:p w14:paraId="79AD72FA" w14:textId="77777777" w:rsidR="00DC3389" w:rsidRDefault="00A84AF9">
            <w:pPr>
              <w:pStyle w:val="BodyTextIndent"/>
              <w:numPr>
                <w:ilvl w:val="1"/>
                <w:numId w:val="1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indicate the </w:t>
            </w:r>
            <w:r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assigned to new taxa at genus level and above.</w:t>
            </w:r>
          </w:p>
          <w:p w14:paraId="0E20E752" w14:textId="77777777" w:rsidR="00DC3389" w:rsidRDefault="00A84AF9">
            <w:pPr>
              <w:pStyle w:val="BodyTextIndent"/>
              <w:numPr>
                <w:ilvl w:val="1"/>
                <w:numId w:val="1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a </w:t>
            </w:r>
            <w:r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must be designated to represent it. Please explain your choice. </w:t>
            </w:r>
          </w:p>
          <w:p w14:paraId="1F56EA11" w14:textId="77777777" w:rsidR="00DC3389" w:rsidRDefault="00A84AF9">
            <w:pPr>
              <w:pStyle w:val="BodyTextIndent"/>
              <w:numPr>
                <w:ilvl w:val="0"/>
                <w:numId w:val="1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645E4745" w14:textId="77777777" w:rsidR="00DC3389" w:rsidRDefault="00DC3389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478869CB" w14:textId="77777777" w:rsidR="00DC3389" w:rsidRDefault="00DC3389">
      <w:pPr>
        <w:sectPr w:rsidR="00DC3389">
          <w:headerReference w:type="default" r:id="rId10"/>
          <w:footerReference w:type="default" r:id="rId11"/>
          <w:pgSz w:w="11906" w:h="16838"/>
          <w:pgMar w:top="1296" w:right="1008" w:bottom="1440" w:left="1440" w:header="706" w:footer="706" w:gutter="0"/>
          <w:cols w:space="720"/>
          <w:formProt w:val="0"/>
          <w:docGrid w:linePitch="360" w:charSpace="-6145"/>
        </w:sectPr>
      </w:pPr>
    </w:p>
    <w:p w14:paraId="574F7B11" w14:textId="77777777" w:rsidR="00DC3389" w:rsidRDefault="00A84AF9">
      <w:r>
        <w:t xml:space="preserve">Members of the order </w:t>
      </w:r>
      <w:proofErr w:type="spellStart"/>
      <w:r w:rsidRPr="002271C7">
        <w:rPr>
          <w:i/>
        </w:rPr>
        <w:t>Picornavirales</w:t>
      </w:r>
      <w:proofErr w:type="spellEnd"/>
      <w:r>
        <w:t xml:space="preserve"> are characterized by (</w:t>
      </w:r>
      <w:proofErr w:type="spellStart"/>
      <w:r>
        <w:t>i</w:t>
      </w:r>
      <w:proofErr w:type="spellEnd"/>
      <w:r>
        <w:t xml:space="preserve">) a positive-sense RNA genome, usually with a 5′ covalently linked </w:t>
      </w:r>
      <w:proofErr w:type="spellStart"/>
      <w:r>
        <w:t>VPg</w:t>
      </w:r>
      <w:proofErr w:type="spellEnd"/>
      <w:r>
        <w:t xml:space="preserve"> ("virus protein, genome linked") and a 3′ poly(A) tail, (ii) a polyprotein gene expression strategy with cleavage mainly mediated by viral protease(s), (iii) a structural protein module containing three jelly-roll capsid protein domains which form small non-enveloped icosahedral </w:t>
      </w:r>
      <w:proofErr w:type="spellStart"/>
      <w:r>
        <w:t>virions</w:t>
      </w:r>
      <w:proofErr w:type="spellEnd"/>
      <w:r>
        <w:t xml:space="preserve"> with pseudo T = 3 symmetry, and (iv) a non-structural protein module containing a superfamily III helicase (or </w:t>
      </w:r>
      <w:proofErr w:type="spellStart"/>
      <w:r>
        <w:t>NTPase</w:t>
      </w:r>
      <w:proofErr w:type="spellEnd"/>
      <w:r>
        <w:t>), a 3C-like chymotrypsin-like protease, and a superfamily I RNA-dependent RNA polymerase (</w:t>
      </w:r>
      <w:proofErr w:type="spellStart"/>
      <w:r>
        <w:t>RdRp</w:t>
      </w:r>
      <w:proofErr w:type="spellEnd"/>
      <w:r>
        <w:t xml:space="preserve">) encoded sequentially in that order (Le Gall et al., 2008). </w:t>
      </w:r>
    </w:p>
    <w:p w14:paraId="1F3131B7" w14:textId="77777777" w:rsidR="00DC3389" w:rsidRDefault="00DC3389"/>
    <w:p w14:paraId="14A84E49" w14:textId="36A4FE4C" w:rsidR="00F02A01" w:rsidRPr="00F02A01" w:rsidRDefault="00A84AF9">
      <w:pPr>
        <w:rPr>
          <w:rFonts w:ascii="Liberation Serif" w:hAnsi="Liberation Serif" w:cs="Arial"/>
        </w:rPr>
      </w:pPr>
      <w:proofErr w:type="spellStart"/>
      <w:r>
        <w:t>Solenopsis</w:t>
      </w:r>
      <w:proofErr w:type="spellEnd"/>
      <w:r>
        <w:t xml:space="preserve"> </w:t>
      </w:r>
      <w:proofErr w:type="spellStart"/>
      <w:r>
        <w:t>invicta</w:t>
      </w:r>
      <w:proofErr w:type="spellEnd"/>
      <w:r>
        <w:t xml:space="preserve"> virus 2 (SINV-2) is a positive-sense single-stranded RNA virus that infects the red imported fire ant, </w:t>
      </w:r>
      <w:proofErr w:type="spellStart"/>
      <w:r w:rsidRPr="002271C7">
        <w:rPr>
          <w:i/>
        </w:rPr>
        <w:t>Solenopsis</w:t>
      </w:r>
      <w:proofErr w:type="spellEnd"/>
      <w:r w:rsidRPr="002271C7">
        <w:rPr>
          <w:i/>
        </w:rPr>
        <w:t xml:space="preserve"> </w:t>
      </w:r>
      <w:proofErr w:type="spellStart"/>
      <w:r w:rsidRPr="002271C7">
        <w:rPr>
          <w:i/>
        </w:rPr>
        <w:t>invicta</w:t>
      </w:r>
      <w:proofErr w:type="spellEnd"/>
      <w:r>
        <w:t xml:space="preserve"> Buren (Valles et al., 2007). The genome is monopartite, </w:t>
      </w:r>
      <w:proofErr w:type="spellStart"/>
      <w:r>
        <w:t>polyadenylated</w:t>
      </w:r>
      <w:proofErr w:type="spellEnd"/>
      <w:r>
        <w:t xml:space="preserve">, and ~11 kb in length. Isometric particles with a diameter of ~33 nm were found </w:t>
      </w:r>
      <w:r>
        <w:lastRenderedPageBreak/>
        <w:t>only in ants testing positive for SINV-2 by RT-PCR (Valles et al., 2007). Fourteen other SINV-2-like sequences have now been identified, mostly from ants and all from arthropods (</w:t>
      </w:r>
      <w:proofErr w:type="spellStart"/>
      <w:r>
        <w:t>Olendraite</w:t>
      </w:r>
      <w:proofErr w:type="spellEnd"/>
      <w:r>
        <w:t xml:space="preserve"> et al.; submitted). All sequences exhibit a characteristic </w:t>
      </w:r>
      <w:proofErr w:type="spellStart"/>
      <w:r>
        <w:t>polycistronic</w:t>
      </w:r>
      <w:proofErr w:type="spellEnd"/>
      <w:r>
        <w:t xml:space="preserve"> genome organization with four consecutive 5′ proximal ORFs and one long 3′ ORF</w:t>
      </w:r>
      <w:r w:rsidR="00BB13F5">
        <w:t xml:space="preserve"> (Figure 1)</w:t>
      </w:r>
      <w:r>
        <w:t>. ORF</w:t>
      </w:r>
      <w:r w:rsidR="00CD43A4">
        <w:t>s</w:t>
      </w:r>
      <w:r>
        <w:t xml:space="preserve"> 1, 3 and 4 are predicted to encode jelly-roll fold picornavirus-like capsid proteins, while ORF2 encodes a protein of unknown function. Ant-infecting members of the group apparently have an additional 5′ ORF (ORF2b) overlapping the 5′ end of ORF2 and encoding a small protein containing a predicted transmembrane domain. The polypeptide encoded by the 3′ ORF5 contains motifs characteristic of a superfamily III helicase, 3C-like chymotrypsin-related protease, and a superfamily I </w:t>
      </w:r>
      <w:proofErr w:type="spellStart"/>
      <w:r>
        <w:t>RdRp</w:t>
      </w:r>
      <w:proofErr w:type="spellEnd"/>
      <w:r>
        <w:t xml:space="preserve">, encoded in that order. The 5′ UTRs (where sequenced) range up to 366 </w:t>
      </w:r>
      <w:proofErr w:type="spellStart"/>
      <w:r>
        <w:t>nt</w:t>
      </w:r>
      <w:proofErr w:type="spellEnd"/>
      <w:r>
        <w:t xml:space="preserve"> in length, while 3′ UTR lengths range from 385 to 479 </w:t>
      </w:r>
      <w:proofErr w:type="spellStart"/>
      <w:r>
        <w:t>nt</w:t>
      </w:r>
      <w:proofErr w:type="spellEnd"/>
      <w:r>
        <w:t xml:space="preserve">, excluding the </w:t>
      </w:r>
      <w:proofErr w:type="gramStart"/>
      <w:r>
        <w:t>poly(</w:t>
      </w:r>
      <w:proofErr w:type="gramEnd"/>
      <w:r>
        <w:t xml:space="preserve">A) sequence. Thus, these viruses have the </w:t>
      </w:r>
      <w:r>
        <w:rPr>
          <w:rFonts w:ascii="Liberation Serif" w:hAnsi="Liberation Serif" w:cs="Arial"/>
        </w:rPr>
        <w:t xml:space="preserve">characteristic protein complement of members of the order </w:t>
      </w:r>
      <w:proofErr w:type="spellStart"/>
      <w:r w:rsidRPr="002271C7">
        <w:rPr>
          <w:rFonts w:ascii="Liberation Serif" w:hAnsi="Liberation Serif" w:cs="Arial"/>
          <w:i/>
        </w:rPr>
        <w:t>Picornavirales</w:t>
      </w:r>
      <w:proofErr w:type="spellEnd"/>
      <w:r>
        <w:rPr>
          <w:rFonts w:ascii="Liberation Serif" w:hAnsi="Liberation Serif" w:cs="Arial"/>
        </w:rPr>
        <w:t>. In contrast to other members of the order, the SINV-2-like virus structural protein module is further split into separate ORFs rather than depending on polyprotein expression of multiple jelly-roll domains from a single ORF.</w:t>
      </w:r>
      <w:r w:rsidR="00F02A01" w:rsidRPr="00F02A01">
        <w:rPr>
          <w:rFonts w:ascii="Liberation Serif" w:hAnsi="Liberation Serif"/>
        </w:rPr>
        <w:t xml:space="preserve"> </w:t>
      </w:r>
      <w:r w:rsidR="00F02A01">
        <w:rPr>
          <w:rFonts w:ascii="Liberation Serif" w:hAnsi="Liberation Serif"/>
        </w:rPr>
        <w:t xml:space="preserve">We obtained amino acid sequences for the </w:t>
      </w:r>
      <w:proofErr w:type="spellStart"/>
      <w:r w:rsidR="00F02A01">
        <w:rPr>
          <w:rFonts w:ascii="Liberation Serif" w:hAnsi="Liberation Serif"/>
        </w:rPr>
        <w:t>RdRp</w:t>
      </w:r>
      <w:proofErr w:type="spellEnd"/>
      <w:r w:rsidR="00F02A01">
        <w:rPr>
          <w:rFonts w:ascii="Liberation Serif" w:hAnsi="Liberation Serif"/>
        </w:rPr>
        <w:t xml:space="preserve"> region from the 15 SINV-2-like sequences and representative </w:t>
      </w:r>
      <w:r w:rsidR="002C14D6">
        <w:rPr>
          <w:rFonts w:ascii="Liberation Serif" w:hAnsi="Liberation Serif"/>
        </w:rPr>
        <w:t xml:space="preserve">members of the order </w:t>
      </w:r>
      <w:proofErr w:type="spellStart"/>
      <w:r w:rsidR="002C14D6" w:rsidRPr="002C14D6">
        <w:rPr>
          <w:rFonts w:ascii="Liberation Serif" w:hAnsi="Liberation Serif"/>
          <w:i/>
        </w:rPr>
        <w:t>Picornavirales</w:t>
      </w:r>
      <w:proofErr w:type="spellEnd"/>
      <w:r w:rsidR="00F02A01">
        <w:rPr>
          <w:rFonts w:ascii="Liberation Serif" w:hAnsi="Liberation Serif"/>
        </w:rPr>
        <w:t>, aligned the sequences with MUSCLE (Edgar, 2004)</w:t>
      </w:r>
      <w:r w:rsidR="005F32C7">
        <w:rPr>
          <w:rFonts w:ascii="Liberation Serif" w:hAnsi="Liberation Serif"/>
        </w:rPr>
        <w:t>,</w:t>
      </w:r>
      <w:r w:rsidR="00F02A01">
        <w:rPr>
          <w:rFonts w:ascii="Liberation Serif" w:hAnsi="Liberation Serif"/>
        </w:rPr>
        <w:t xml:space="preserve"> and generated a Bayesian Markov chain Monte Carlo based phylogenetic tree using </w:t>
      </w:r>
      <w:proofErr w:type="spellStart"/>
      <w:r w:rsidR="00F02A01">
        <w:rPr>
          <w:rFonts w:ascii="Liberation Serif" w:hAnsi="Liberation Serif"/>
        </w:rPr>
        <w:t>MrBayes</w:t>
      </w:r>
      <w:proofErr w:type="spellEnd"/>
      <w:r w:rsidR="00F02A01">
        <w:rPr>
          <w:rFonts w:ascii="Liberation Serif" w:hAnsi="Liberation Serif"/>
        </w:rPr>
        <w:t xml:space="preserve"> (</w:t>
      </w:r>
      <w:proofErr w:type="spellStart"/>
      <w:r w:rsidR="00F02A01">
        <w:rPr>
          <w:rFonts w:ascii="Liberation Serif" w:hAnsi="Liberation Serif"/>
        </w:rPr>
        <w:t>Ronquist</w:t>
      </w:r>
      <w:proofErr w:type="spellEnd"/>
      <w:r w:rsidR="00F02A01">
        <w:rPr>
          <w:rFonts w:ascii="Liberation Serif" w:hAnsi="Liberation Serif"/>
        </w:rPr>
        <w:t xml:space="preserve"> et al., 2012) (Figure 2). The SINV-2-like sequences form a distinct clade.</w:t>
      </w:r>
    </w:p>
    <w:p w14:paraId="3C05C257" w14:textId="77777777" w:rsidR="00DC3389" w:rsidRDefault="00DC3389">
      <w:pPr>
        <w:rPr>
          <w:rFonts w:ascii="Liberation Serif" w:hAnsi="Liberation Serif"/>
        </w:rPr>
      </w:pPr>
    </w:p>
    <w:tbl>
      <w:tblPr>
        <w:tblW w:w="9512" w:type="dxa"/>
        <w:tblInd w:w="5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CellMar>
          <w:top w:w="55" w:type="dxa"/>
          <w:left w:w="54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567"/>
      </w:tblGrid>
      <w:tr w:rsidR="00CD43A4" w14:paraId="15F51827" w14:textId="77777777" w:rsidTr="00CD43A4">
        <w:trPr>
          <w:trHeight w:val="23"/>
        </w:trPr>
        <w:tc>
          <w:tcPr>
            <w:tcW w:w="95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left w:w="54" w:type="dxa"/>
            </w:tcMar>
          </w:tcPr>
          <w:p w14:paraId="4A0DFECF" w14:textId="12A661CD" w:rsidR="00CD43A4" w:rsidRDefault="00A80F70" w:rsidP="00B537C4">
            <w:pPr>
              <w:pStyle w:val="TableContents"/>
              <w:rPr>
                <w:noProof/>
              </w:rPr>
            </w:pPr>
            <w:r>
              <w:rPr>
                <w:noProof/>
                <w:lang w:val="en-GB" w:eastAsia="en-GB"/>
              </w:rPr>
              <w:drawing>
                <wp:anchor distT="0" distB="0" distL="114300" distR="114300" simplePos="0" relativeHeight="251661312" behindDoc="0" locked="0" layoutInCell="1" allowOverlap="1" wp14:anchorId="1402AEA5" wp14:editId="45F2BA1F">
                  <wp:simplePos x="0" y="0"/>
                  <wp:positionH relativeFrom="column">
                    <wp:posOffset>313690</wp:posOffset>
                  </wp:positionH>
                  <wp:positionV relativeFrom="paragraph">
                    <wp:posOffset>-5995670</wp:posOffset>
                  </wp:positionV>
                  <wp:extent cx="5181600" cy="1051560"/>
                  <wp:effectExtent l="0" t="0" r="0" b="0"/>
                  <wp:wrapSquare wrapText="bothSides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923" t="30086" r="5898" b="3846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81600" cy="10515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CD43A4">
              <w:rPr>
                <w:noProof/>
                <w:lang w:val="en-GB" w:eastAsia="en-GB"/>
              </w:rPr>
              <w:drawing>
                <wp:anchor distT="0" distB="0" distL="114300" distR="114300" simplePos="0" relativeHeight="251659264" behindDoc="0" locked="0" layoutInCell="1" allowOverlap="1" wp14:anchorId="383EC7D1" wp14:editId="5B8472DE">
                  <wp:simplePos x="0" y="0"/>
                  <wp:positionH relativeFrom="column">
                    <wp:posOffset>313690</wp:posOffset>
                  </wp:positionH>
                  <wp:positionV relativeFrom="paragraph">
                    <wp:posOffset>-5995670</wp:posOffset>
                  </wp:positionV>
                  <wp:extent cx="5181600" cy="1051560"/>
                  <wp:effectExtent l="0" t="0" r="0" b="0"/>
                  <wp:wrapSquare wrapText="bothSides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923" t="30086" r="5898" b="3846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81600" cy="10515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CD43A4" w14:paraId="4CCDDE88" w14:textId="77777777" w:rsidTr="00CD43A4">
        <w:trPr>
          <w:trHeight w:val="23"/>
        </w:trPr>
        <w:tc>
          <w:tcPr>
            <w:tcW w:w="95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left w:w="54" w:type="dxa"/>
            </w:tcMar>
          </w:tcPr>
          <w:p w14:paraId="76AC588C" w14:textId="59ACF260" w:rsidR="00CD43A4" w:rsidRPr="00CD43A4" w:rsidRDefault="001C7CB3" w:rsidP="005D3113">
            <w:pPr>
              <w:pStyle w:val="TableContents"/>
              <w:rPr>
                <w:noProof/>
                <w:sz w:val="20"/>
                <w:szCs w:val="20"/>
              </w:rPr>
            </w:pPr>
            <w:r w:rsidRPr="00CD43A4">
              <w:rPr>
                <w:b/>
                <w:sz w:val="20"/>
                <w:szCs w:val="20"/>
              </w:rPr>
              <w:t>Figure 1. Genome map of SINV-2</w:t>
            </w:r>
            <w:r>
              <w:rPr>
                <w:b/>
                <w:sz w:val="20"/>
                <w:szCs w:val="20"/>
              </w:rPr>
              <w:t xml:space="preserve">, a typical </w:t>
            </w:r>
            <w:proofErr w:type="spellStart"/>
            <w:r>
              <w:rPr>
                <w:b/>
                <w:sz w:val="20"/>
                <w:szCs w:val="20"/>
              </w:rPr>
              <w:t>polycipivirus</w:t>
            </w:r>
            <w:proofErr w:type="spellEnd"/>
            <w:r w:rsidRPr="00CD43A4">
              <w:rPr>
                <w:b/>
                <w:sz w:val="20"/>
                <w:szCs w:val="20"/>
              </w:rPr>
              <w:t>.</w:t>
            </w:r>
            <w:r w:rsidRPr="00CD43A4">
              <w:rPr>
                <w:sz w:val="20"/>
                <w:szCs w:val="20"/>
              </w:rPr>
              <w:t xml:space="preserve"> The genome is represented by a black line. ORFs are indicated in pale blue with vertical offsets indicating reading frame (−1, 0, +1) relative to ORF5. IGR denotes the intergenic region.</w:t>
            </w:r>
            <w:r w:rsidR="000E36C9">
              <w:rPr>
                <w:sz w:val="20"/>
                <w:szCs w:val="20"/>
              </w:rPr>
              <w:t xml:space="preserve"> (Figure reproduced from </w:t>
            </w:r>
            <w:proofErr w:type="spellStart"/>
            <w:r w:rsidR="000E36C9">
              <w:rPr>
                <w:sz w:val="20"/>
                <w:szCs w:val="20"/>
              </w:rPr>
              <w:t>Olendraite</w:t>
            </w:r>
            <w:proofErr w:type="spellEnd"/>
            <w:r w:rsidR="000E36C9">
              <w:rPr>
                <w:sz w:val="20"/>
                <w:szCs w:val="20"/>
              </w:rPr>
              <w:t xml:space="preserve"> et al., 2017.)</w:t>
            </w:r>
          </w:p>
        </w:tc>
      </w:tr>
      <w:tr w:rsidR="00DC3389" w14:paraId="31BAA031" w14:textId="77777777" w:rsidTr="00CD43A4">
        <w:trPr>
          <w:trHeight w:val="23"/>
        </w:trPr>
        <w:tc>
          <w:tcPr>
            <w:tcW w:w="95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left w:w="54" w:type="dxa"/>
            </w:tcMar>
          </w:tcPr>
          <w:p w14:paraId="4F2AA2F6" w14:textId="7876291B" w:rsidR="00DC3389" w:rsidRDefault="00F547F9">
            <w:pPr>
              <w:pStyle w:val="TableContents"/>
            </w:pPr>
            <w:r>
              <w:rPr>
                <w:noProof/>
                <w:lang w:val="en-GB" w:eastAsia="en-GB"/>
              </w:rPr>
              <w:lastRenderedPageBreak/>
              <w:drawing>
                <wp:inline distT="0" distB="0" distL="0" distR="0" wp14:anchorId="33D003C8" wp14:editId="23150539">
                  <wp:extent cx="6005830" cy="6089650"/>
                  <wp:effectExtent l="0" t="0" r="0" b="635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Figure5r2.jpg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05830" cy="6089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C3389" w14:paraId="4E912230" w14:textId="77777777" w:rsidTr="00CD43A4">
        <w:tc>
          <w:tcPr>
            <w:tcW w:w="951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left w:w="54" w:type="dxa"/>
            </w:tcMar>
          </w:tcPr>
          <w:p w14:paraId="25126A9F" w14:textId="0C8448ED" w:rsidR="00DC3389" w:rsidRDefault="001D6B77" w:rsidP="002C14D6">
            <w:pPr>
              <w:rPr>
                <w:sz w:val="20"/>
                <w:szCs w:val="20"/>
              </w:rPr>
            </w:pPr>
            <w:r w:rsidRPr="002C14D6">
              <w:rPr>
                <w:b/>
                <w:bCs/>
                <w:sz w:val="20"/>
                <w:szCs w:val="20"/>
              </w:rPr>
              <w:t xml:space="preserve">Figure </w:t>
            </w:r>
            <w:r w:rsidR="00CD43A4" w:rsidRPr="002C14D6">
              <w:rPr>
                <w:b/>
                <w:bCs/>
                <w:sz w:val="20"/>
                <w:szCs w:val="20"/>
              </w:rPr>
              <w:t>2</w:t>
            </w:r>
            <w:r w:rsidRPr="002C14D6">
              <w:rPr>
                <w:b/>
                <w:bCs/>
                <w:sz w:val="20"/>
                <w:szCs w:val="20"/>
              </w:rPr>
              <w:t xml:space="preserve">. </w:t>
            </w:r>
            <w:r w:rsidRPr="002C14D6">
              <w:rPr>
                <w:b/>
                <w:sz w:val="20"/>
                <w:szCs w:val="20"/>
              </w:rPr>
              <w:t xml:space="preserve">Phylogenetic tree for </w:t>
            </w:r>
            <w:proofErr w:type="spellStart"/>
            <w:r w:rsidRPr="002C14D6">
              <w:rPr>
                <w:b/>
                <w:sz w:val="20"/>
                <w:szCs w:val="20"/>
              </w:rPr>
              <w:t>polycipiviruses</w:t>
            </w:r>
            <w:proofErr w:type="spellEnd"/>
            <w:r w:rsidRPr="002C14D6">
              <w:rPr>
                <w:b/>
                <w:sz w:val="20"/>
                <w:szCs w:val="20"/>
              </w:rPr>
              <w:t xml:space="preserve"> and representative </w:t>
            </w:r>
            <w:r w:rsidR="002C14D6" w:rsidRPr="002C14D6">
              <w:rPr>
                <w:b/>
                <w:sz w:val="20"/>
                <w:szCs w:val="20"/>
              </w:rPr>
              <w:t xml:space="preserve">members of the order </w:t>
            </w:r>
            <w:proofErr w:type="spellStart"/>
            <w:r w:rsidR="002C14D6" w:rsidRPr="002C14D6">
              <w:rPr>
                <w:b/>
                <w:i/>
                <w:sz w:val="20"/>
                <w:szCs w:val="20"/>
              </w:rPr>
              <w:t>Picornavirales</w:t>
            </w:r>
            <w:proofErr w:type="spellEnd"/>
            <w:r w:rsidRPr="002C14D6">
              <w:rPr>
                <w:b/>
                <w:sz w:val="20"/>
                <w:szCs w:val="20"/>
              </w:rPr>
              <w:t>.</w:t>
            </w:r>
            <w:r w:rsidR="002C14D6" w:rsidRPr="002C14D6">
              <w:rPr>
                <w:sz w:val="20"/>
                <w:szCs w:val="20"/>
              </w:rPr>
              <w:t xml:space="preserve"> Core </w:t>
            </w:r>
            <w:proofErr w:type="spellStart"/>
            <w:r w:rsidR="002C14D6" w:rsidRPr="002C14D6">
              <w:rPr>
                <w:sz w:val="20"/>
                <w:szCs w:val="20"/>
              </w:rPr>
              <w:t>RdRp</w:t>
            </w:r>
            <w:proofErr w:type="spellEnd"/>
            <w:r w:rsidR="002C14D6" w:rsidRPr="002C14D6">
              <w:rPr>
                <w:sz w:val="20"/>
                <w:szCs w:val="20"/>
              </w:rPr>
              <w:t xml:space="preserve"> amino acid sequences from representative </w:t>
            </w:r>
            <w:proofErr w:type="spellStart"/>
            <w:r w:rsidR="002C14D6" w:rsidRPr="002C14D6">
              <w:rPr>
                <w:i/>
                <w:sz w:val="20"/>
                <w:szCs w:val="20"/>
              </w:rPr>
              <w:t>Picornavirales</w:t>
            </w:r>
            <w:proofErr w:type="spellEnd"/>
            <w:r w:rsidR="002C14D6" w:rsidRPr="002C14D6">
              <w:rPr>
                <w:i/>
                <w:sz w:val="20"/>
                <w:szCs w:val="20"/>
              </w:rPr>
              <w:t xml:space="preserve"> </w:t>
            </w:r>
            <w:r w:rsidR="002C14D6" w:rsidRPr="002C14D6">
              <w:rPr>
                <w:sz w:val="20"/>
                <w:szCs w:val="20"/>
              </w:rPr>
              <w:t xml:space="preserve">viruses were obtained from </w:t>
            </w:r>
            <w:proofErr w:type="spellStart"/>
            <w:r w:rsidR="002C14D6" w:rsidRPr="002C14D6">
              <w:rPr>
                <w:sz w:val="20"/>
                <w:szCs w:val="20"/>
              </w:rPr>
              <w:t>Koonin</w:t>
            </w:r>
            <w:proofErr w:type="spellEnd"/>
            <w:r w:rsidR="002C14D6" w:rsidRPr="002C14D6">
              <w:rPr>
                <w:sz w:val="20"/>
                <w:szCs w:val="20"/>
              </w:rPr>
              <w:t xml:space="preserve"> et al. (2008), combined with the equivalent regions from the 15 sequences in Table 1 with </w:t>
            </w:r>
            <w:proofErr w:type="spellStart"/>
            <w:r w:rsidR="002C14D6" w:rsidRPr="002C14D6">
              <w:rPr>
                <w:sz w:val="20"/>
                <w:szCs w:val="20"/>
              </w:rPr>
              <w:t>RdRp</w:t>
            </w:r>
            <w:proofErr w:type="spellEnd"/>
            <w:r w:rsidR="002C14D6" w:rsidRPr="002C14D6">
              <w:rPr>
                <w:sz w:val="20"/>
                <w:szCs w:val="20"/>
              </w:rPr>
              <w:t xml:space="preserve"> coverage, aligned with MUSCLE, and a Bayesian Markov chain Monte Carlo based phylogenetic tree produced. Posterior probabilities </w:t>
            </w:r>
            <w:r w:rsidR="002C14D6">
              <w:rPr>
                <w:sz w:val="20"/>
                <w:szCs w:val="20"/>
              </w:rPr>
              <w:t>are indicated for family root nodes, and elsewhere if</w:t>
            </w:r>
            <w:r w:rsidR="002C14D6" w:rsidRPr="002C14D6">
              <w:rPr>
                <w:sz w:val="20"/>
                <w:szCs w:val="20"/>
              </w:rPr>
              <w:t xml:space="preserve"> </w:t>
            </w:r>
            <w:r w:rsidR="002C14D6" w:rsidRPr="002C14D6">
              <w:rPr>
                <w:i/>
                <w:sz w:val="20"/>
                <w:szCs w:val="20"/>
              </w:rPr>
              <w:t>p</w:t>
            </w:r>
            <w:r w:rsidR="002C14D6" w:rsidRPr="002C14D6">
              <w:rPr>
                <w:sz w:val="20"/>
                <w:szCs w:val="20"/>
              </w:rPr>
              <w:t xml:space="preserve"> &lt; 1.00. Abbreviations: ALSV – apple latent spherical virus; BBWV1 – broad bean wilt virus 1; CPMV – cowpea mosaic virus; CRLV – cherry rasp leaf virus; </w:t>
            </w:r>
            <w:proofErr w:type="spellStart"/>
            <w:r w:rsidR="002C14D6" w:rsidRPr="002C14D6">
              <w:rPr>
                <w:sz w:val="20"/>
                <w:szCs w:val="20"/>
              </w:rPr>
              <w:t>CrPV</w:t>
            </w:r>
            <w:proofErr w:type="spellEnd"/>
            <w:r w:rsidR="002C14D6" w:rsidRPr="002C14D6">
              <w:rPr>
                <w:sz w:val="20"/>
                <w:szCs w:val="20"/>
              </w:rPr>
              <w:t xml:space="preserve"> – cricket paralysis virus; DCV – Drosophila C virus; DWV – deformed wing virus; EMCV – </w:t>
            </w:r>
            <w:proofErr w:type="spellStart"/>
            <w:r w:rsidR="002C14D6" w:rsidRPr="002C14D6">
              <w:rPr>
                <w:sz w:val="20"/>
                <w:szCs w:val="20"/>
              </w:rPr>
              <w:t>encephalomyocarditis</w:t>
            </w:r>
            <w:proofErr w:type="spellEnd"/>
            <w:r w:rsidR="002C14D6" w:rsidRPr="002C14D6">
              <w:rPr>
                <w:sz w:val="20"/>
                <w:szCs w:val="20"/>
              </w:rPr>
              <w:t xml:space="preserve"> virus; FMDV – foot-and-mouth disease virus; GFLV – grapevine </w:t>
            </w:r>
            <w:proofErr w:type="spellStart"/>
            <w:r w:rsidR="002C14D6" w:rsidRPr="002C14D6">
              <w:rPr>
                <w:sz w:val="20"/>
                <w:szCs w:val="20"/>
              </w:rPr>
              <w:t>fanleaf</w:t>
            </w:r>
            <w:proofErr w:type="spellEnd"/>
            <w:r w:rsidR="002C14D6" w:rsidRPr="002C14D6">
              <w:rPr>
                <w:sz w:val="20"/>
                <w:szCs w:val="20"/>
              </w:rPr>
              <w:t xml:space="preserve"> virus; </w:t>
            </w:r>
            <w:proofErr w:type="spellStart"/>
            <w:r w:rsidR="002C14D6" w:rsidRPr="002C14D6">
              <w:rPr>
                <w:sz w:val="20"/>
                <w:szCs w:val="20"/>
              </w:rPr>
              <w:t>HaRNAV</w:t>
            </w:r>
            <w:proofErr w:type="spellEnd"/>
            <w:r w:rsidR="002C14D6" w:rsidRPr="002C14D6">
              <w:rPr>
                <w:sz w:val="20"/>
                <w:szCs w:val="20"/>
              </w:rPr>
              <w:t xml:space="preserve"> – </w:t>
            </w:r>
            <w:proofErr w:type="spellStart"/>
            <w:r w:rsidR="002C14D6" w:rsidRPr="002C14D6">
              <w:rPr>
                <w:sz w:val="20"/>
                <w:szCs w:val="20"/>
              </w:rPr>
              <w:t>Heterosigma</w:t>
            </w:r>
            <w:proofErr w:type="spellEnd"/>
            <w:r w:rsidR="002C14D6" w:rsidRPr="002C14D6">
              <w:rPr>
                <w:sz w:val="20"/>
                <w:szCs w:val="20"/>
              </w:rPr>
              <w:t xml:space="preserve"> </w:t>
            </w:r>
            <w:proofErr w:type="spellStart"/>
            <w:r w:rsidR="002C14D6" w:rsidRPr="002C14D6">
              <w:rPr>
                <w:sz w:val="20"/>
                <w:szCs w:val="20"/>
              </w:rPr>
              <w:t>akashiwo</w:t>
            </w:r>
            <w:proofErr w:type="spellEnd"/>
            <w:r w:rsidR="002C14D6" w:rsidRPr="002C14D6">
              <w:rPr>
                <w:sz w:val="20"/>
                <w:szCs w:val="20"/>
              </w:rPr>
              <w:t xml:space="preserve"> RNA virus; HAV – hepatitis A virus; HplV-81 – Hubei </w:t>
            </w:r>
            <w:proofErr w:type="spellStart"/>
            <w:r w:rsidR="002C14D6" w:rsidRPr="002C14D6">
              <w:rPr>
                <w:sz w:val="20"/>
                <w:szCs w:val="20"/>
              </w:rPr>
              <w:t>picorna</w:t>
            </w:r>
            <w:proofErr w:type="spellEnd"/>
            <w:r w:rsidR="002C14D6" w:rsidRPr="002C14D6">
              <w:rPr>
                <w:sz w:val="20"/>
                <w:szCs w:val="20"/>
              </w:rPr>
              <w:t xml:space="preserve">-like virus 81; HplV-82 – Hubei </w:t>
            </w:r>
            <w:proofErr w:type="spellStart"/>
            <w:r w:rsidR="002C14D6" w:rsidRPr="002C14D6">
              <w:rPr>
                <w:sz w:val="20"/>
                <w:szCs w:val="20"/>
              </w:rPr>
              <w:t>picorna</w:t>
            </w:r>
            <w:proofErr w:type="spellEnd"/>
            <w:r w:rsidR="002C14D6" w:rsidRPr="002C14D6">
              <w:rPr>
                <w:sz w:val="20"/>
                <w:szCs w:val="20"/>
              </w:rPr>
              <w:t xml:space="preserve">-like virus 82; HRV1A – human rhinovirus 1A; IFV – infectious flacherie virus; LneV-1 – </w:t>
            </w:r>
            <w:proofErr w:type="spellStart"/>
            <w:r w:rsidR="002C14D6" w:rsidRPr="002C14D6">
              <w:rPr>
                <w:sz w:val="20"/>
                <w:szCs w:val="20"/>
              </w:rPr>
              <w:t>Lasius</w:t>
            </w:r>
            <w:proofErr w:type="spellEnd"/>
            <w:r w:rsidR="002C14D6" w:rsidRPr="002C14D6">
              <w:rPr>
                <w:sz w:val="20"/>
                <w:szCs w:val="20"/>
              </w:rPr>
              <w:t xml:space="preserve"> </w:t>
            </w:r>
            <w:proofErr w:type="spellStart"/>
            <w:r w:rsidR="002C14D6" w:rsidRPr="002C14D6">
              <w:rPr>
                <w:sz w:val="20"/>
                <w:szCs w:val="20"/>
              </w:rPr>
              <w:t>neglectus</w:t>
            </w:r>
            <w:proofErr w:type="spellEnd"/>
            <w:r w:rsidR="002C14D6" w:rsidRPr="002C14D6">
              <w:rPr>
                <w:sz w:val="20"/>
                <w:szCs w:val="20"/>
              </w:rPr>
              <w:t xml:space="preserve"> virus 1; LniV-1 – </w:t>
            </w:r>
            <w:proofErr w:type="spellStart"/>
            <w:r w:rsidR="002C14D6" w:rsidRPr="002C14D6">
              <w:rPr>
                <w:sz w:val="20"/>
                <w:szCs w:val="20"/>
              </w:rPr>
              <w:t>Lasius</w:t>
            </w:r>
            <w:proofErr w:type="spellEnd"/>
            <w:r w:rsidR="002C14D6" w:rsidRPr="002C14D6">
              <w:rPr>
                <w:sz w:val="20"/>
                <w:szCs w:val="20"/>
              </w:rPr>
              <w:t xml:space="preserve"> </w:t>
            </w:r>
            <w:proofErr w:type="spellStart"/>
            <w:r w:rsidR="002C14D6" w:rsidRPr="002C14D6">
              <w:rPr>
                <w:sz w:val="20"/>
                <w:szCs w:val="20"/>
              </w:rPr>
              <w:t>niger</w:t>
            </w:r>
            <w:proofErr w:type="spellEnd"/>
            <w:r w:rsidR="002C14D6" w:rsidRPr="002C14D6">
              <w:rPr>
                <w:sz w:val="20"/>
                <w:szCs w:val="20"/>
              </w:rPr>
              <w:t xml:space="preserve"> virus 1; MsaV-1 – </w:t>
            </w:r>
            <w:proofErr w:type="spellStart"/>
            <w:r w:rsidR="002C14D6" w:rsidRPr="002C14D6">
              <w:rPr>
                <w:sz w:val="20"/>
                <w:szCs w:val="20"/>
              </w:rPr>
              <w:t>Myrmica</w:t>
            </w:r>
            <w:proofErr w:type="spellEnd"/>
            <w:r w:rsidR="002C14D6" w:rsidRPr="002C14D6">
              <w:rPr>
                <w:sz w:val="20"/>
                <w:szCs w:val="20"/>
              </w:rPr>
              <w:t xml:space="preserve"> </w:t>
            </w:r>
            <w:proofErr w:type="spellStart"/>
            <w:r w:rsidR="002C14D6" w:rsidRPr="002C14D6">
              <w:rPr>
                <w:sz w:val="20"/>
                <w:szCs w:val="20"/>
              </w:rPr>
              <w:t>scabrinodis</w:t>
            </w:r>
            <w:proofErr w:type="spellEnd"/>
            <w:r w:rsidR="002C14D6" w:rsidRPr="002C14D6">
              <w:rPr>
                <w:sz w:val="20"/>
                <w:szCs w:val="20"/>
              </w:rPr>
              <w:t xml:space="preserve"> virus 1; NIMV – navel orange infectious mottling virus; </w:t>
            </w:r>
            <w:proofErr w:type="spellStart"/>
            <w:r w:rsidR="002C14D6" w:rsidRPr="002C14D6">
              <w:rPr>
                <w:sz w:val="20"/>
                <w:szCs w:val="20"/>
              </w:rPr>
              <w:t>PnPV</w:t>
            </w:r>
            <w:proofErr w:type="spellEnd"/>
            <w:r w:rsidR="002C14D6" w:rsidRPr="002C14D6">
              <w:rPr>
                <w:sz w:val="20"/>
                <w:szCs w:val="20"/>
              </w:rPr>
              <w:t xml:space="preserve"> – </w:t>
            </w:r>
            <w:proofErr w:type="spellStart"/>
            <w:r w:rsidR="002C14D6" w:rsidRPr="002C14D6">
              <w:rPr>
                <w:sz w:val="20"/>
                <w:szCs w:val="20"/>
              </w:rPr>
              <w:t>Perina</w:t>
            </w:r>
            <w:proofErr w:type="spellEnd"/>
            <w:r w:rsidR="002C14D6" w:rsidRPr="002C14D6">
              <w:rPr>
                <w:sz w:val="20"/>
                <w:szCs w:val="20"/>
              </w:rPr>
              <w:t xml:space="preserve"> </w:t>
            </w:r>
            <w:proofErr w:type="spellStart"/>
            <w:r w:rsidR="002C14D6" w:rsidRPr="002C14D6">
              <w:rPr>
                <w:sz w:val="20"/>
                <w:szCs w:val="20"/>
              </w:rPr>
              <w:t>nuda</w:t>
            </w:r>
            <w:proofErr w:type="spellEnd"/>
            <w:r w:rsidR="002C14D6" w:rsidRPr="002C14D6">
              <w:rPr>
                <w:sz w:val="20"/>
                <w:szCs w:val="20"/>
              </w:rPr>
              <w:t xml:space="preserve"> </w:t>
            </w:r>
            <w:proofErr w:type="spellStart"/>
            <w:r w:rsidR="002C14D6" w:rsidRPr="002C14D6">
              <w:rPr>
                <w:sz w:val="20"/>
                <w:szCs w:val="20"/>
              </w:rPr>
              <w:t>picorna</w:t>
            </w:r>
            <w:proofErr w:type="spellEnd"/>
            <w:r w:rsidR="002C14D6" w:rsidRPr="002C14D6">
              <w:rPr>
                <w:sz w:val="20"/>
                <w:szCs w:val="20"/>
              </w:rPr>
              <w:t xml:space="preserve">-like virus; PV – polio virus; PYFV – parsnip yellow fleck virus; RTSV – rice </w:t>
            </w:r>
            <w:proofErr w:type="spellStart"/>
            <w:r w:rsidR="002C14D6" w:rsidRPr="002C14D6">
              <w:rPr>
                <w:sz w:val="20"/>
                <w:szCs w:val="20"/>
              </w:rPr>
              <w:t>tungro</w:t>
            </w:r>
            <w:proofErr w:type="spellEnd"/>
            <w:r w:rsidR="002C14D6" w:rsidRPr="002C14D6">
              <w:rPr>
                <w:sz w:val="20"/>
                <w:szCs w:val="20"/>
              </w:rPr>
              <w:t xml:space="preserve"> spherical virus; SDV – satsuma dwarf virus; ShiV-8 – </w:t>
            </w:r>
            <w:proofErr w:type="spellStart"/>
            <w:r w:rsidR="002C14D6" w:rsidRPr="002C14D6">
              <w:rPr>
                <w:sz w:val="20"/>
                <w:szCs w:val="20"/>
              </w:rPr>
              <w:t>Shuangao</w:t>
            </w:r>
            <w:proofErr w:type="spellEnd"/>
            <w:r w:rsidR="002C14D6" w:rsidRPr="002C14D6">
              <w:rPr>
                <w:sz w:val="20"/>
                <w:szCs w:val="20"/>
              </w:rPr>
              <w:t xml:space="preserve"> insect virus 8; SINV-2 – </w:t>
            </w:r>
            <w:proofErr w:type="spellStart"/>
            <w:r w:rsidR="002C14D6" w:rsidRPr="002C14D6">
              <w:rPr>
                <w:sz w:val="20"/>
                <w:szCs w:val="20"/>
              </w:rPr>
              <w:t>Solenopsis</w:t>
            </w:r>
            <w:proofErr w:type="spellEnd"/>
            <w:r w:rsidR="002C14D6" w:rsidRPr="002C14D6">
              <w:rPr>
                <w:sz w:val="20"/>
                <w:szCs w:val="20"/>
              </w:rPr>
              <w:t xml:space="preserve"> </w:t>
            </w:r>
            <w:proofErr w:type="spellStart"/>
            <w:r w:rsidR="002C14D6" w:rsidRPr="002C14D6">
              <w:rPr>
                <w:sz w:val="20"/>
                <w:szCs w:val="20"/>
              </w:rPr>
              <w:t>invicta</w:t>
            </w:r>
            <w:proofErr w:type="spellEnd"/>
            <w:r w:rsidR="002C14D6" w:rsidRPr="002C14D6">
              <w:rPr>
                <w:sz w:val="20"/>
                <w:szCs w:val="20"/>
              </w:rPr>
              <w:t xml:space="preserve"> virus 2; SINV-4 – </w:t>
            </w:r>
            <w:proofErr w:type="spellStart"/>
            <w:r w:rsidR="002C14D6" w:rsidRPr="002C14D6">
              <w:rPr>
                <w:sz w:val="20"/>
                <w:szCs w:val="20"/>
              </w:rPr>
              <w:t>Solenopsis</w:t>
            </w:r>
            <w:proofErr w:type="spellEnd"/>
            <w:r w:rsidR="002C14D6" w:rsidRPr="002C14D6">
              <w:rPr>
                <w:sz w:val="20"/>
                <w:szCs w:val="20"/>
              </w:rPr>
              <w:t xml:space="preserve"> </w:t>
            </w:r>
            <w:proofErr w:type="spellStart"/>
            <w:r w:rsidR="002C14D6" w:rsidRPr="002C14D6">
              <w:rPr>
                <w:sz w:val="20"/>
                <w:szCs w:val="20"/>
              </w:rPr>
              <w:t>invicta</w:t>
            </w:r>
            <w:proofErr w:type="spellEnd"/>
            <w:r w:rsidR="002C14D6" w:rsidRPr="002C14D6">
              <w:rPr>
                <w:sz w:val="20"/>
                <w:szCs w:val="20"/>
              </w:rPr>
              <w:t xml:space="preserve"> virus 4; TRSV – tobacco ringspot virus; </w:t>
            </w:r>
            <w:proofErr w:type="spellStart"/>
            <w:r w:rsidR="002C14D6" w:rsidRPr="002C14D6">
              <w:rPr>
                <w:sz w:val="20"/>
                <w:szCs w:val="20"/>
              </w:rPr>
              <w:t>TrV</w:t>
            </w:r>
            <w:proofErr w:type="spellEnd"/>
            <w:r w:rsidR="002C14D6" w:rsidRPr="002C14D6">
              <w:rPr>
                <w:sz w:val="20"/>
                <w:szCs w:val="20"/>
              </w:rPr>
              <w:t xml:space="preserve"> – </w:t>
            </w:r>
            <w:proofErr w:type="spellStart"/>
            <w:r w:rsidR="002C14D6" w:rsidRPr="002C14D6">
              <w:rPr>
                <w:sz w:val="20"/>
                <w:szCs w:val="20"/>
              </w:rPr>
              <w:t>Triatoma</w:t>
            </w:r>
            <w:proofErr w:type="spellEnd"/>
            <w:r w:rsidR="002C14D6" w:rsidRPr="002C14D6">
              <w:rPr>
                <w:sz w:val="20"/>
                <w:szCs w:val="20"/>
              </w:rPr>
              <w:t xml:space="preserve"> virus; TSV – </w:t>
            </w:r>
            <w:proofErr w:type="spellStart"/>
            <w:r w:rsidR="002C14D6" w:rsidRPr="002C14D6">
              <w:rPr>
                <w:sz w:val="20"/>
                <w:szCs w:val="20"/>
              </w:rPr>
              <w:t>Taura</w:t>
            </w:r>
            <w:proofErr w:type="spellEnd"/>
            <w:r w:rsidR="002C14D6" w:rsidRPr="002C14D6">
              <w:rPr>
                <w:sz w:val="20"/>
                <w:szCs w:val="20"/>
              </w:rPr>
              <w:t xml:space="preserve"> syndrome virus.</w:t>
            </w:r>
            <w:r w:rsidR="00F20A86">
              <w:rPr>
                <w:sz w:val="20"/>
                <w:szCs w:val="20"/>
              </w:rPr>
              <w:t xml:space="preserve"> (Figure reproduced from </w:t>
            </w:r>
            <w:proofErr w:type="spellStart"/>
            <w:r w:rsidR="00F20A86">
              <w:rPr>
                <w:sz w:val="20"/>
                <w:szCs w:val="20"/>
              </w:rPr>
              <w:t>Ol</w:t>
            </w:r>
            <w:r w:rsidR="005D3113">
              <w:rPr>
                <w:sz w:val="20"/>
                <w:szCs w:val="20"/>
              </w:rPr>
              <w:t>endraite</w:t>
            </w:r>
            <w:proofErr w:type="spellEnd"/>
            <w:r w:rsidR="005D3113">
              <w:rPr>
                <w:sz w:val="20"/>
                <w:szCs w:val="20"/>
              </w:rPr>
              <w:t xml:space="preserve"> et al., </w:t>
            </w:r>
            <w:r w:rsidR="00F20A86">
              <w:rPr>
                <w:sz w:val="20"/>
                <w:szCs w:val="20"/>
              </w:rPr>
              <w:t>2017.)</w:t>
            </w:r>
          </w:p>
        </w:tc>
      </w:tr>
    </w:tbl>
    <w:p w14:paraId="30D96FC5" w14:textId="77777777" w:rsidR="00DC3389" w:rsidRDefault="00DC3389">
      <w:pPr>
        <w:rPr>
          <w:rFonts w:cs="Arial"/>
        </w:rPr>
      </w:pPr>
    </w:p>
    <w:p w14:paraId="20A1945D" w14:textId="77777777" w:rsidR="00DC3389" w:rsidRDefault="00A84AF9">
      <w:pPr>
        <w:rPr>
          <w:rFonts w:ascii="Liberation Serif" w:hAnsi="Liberation Serif"/>
        </w:rPr>
      </w:pPr>
      <w:r>
        <w:rPr>
          <w:rFonts w:ascii="Liberation Serif" w:hAnsi="Liberation Serif" w:cs="Arial"/>
        </w:rPr>
        <w:lastRenderedPageBreak/>
        <w:t xml:space="preserve">The unusual genome organization and phylogenetic distinctness of this group of viruses suggests they should be classified into a new virus family for which we propose the name </w:t>
      </w:r>
      <w:proofErr w:type="spellStart"/>
      <w:r>
        <w:rPr>
          <w:rFonts w:ascii="Liberation Serif" w:hAnsi="Liberation Serif" w:cs="Arial"/>
          <w:i/>
          <w:iCs/>
        </w:rPr>
        <w:t>Polycipiviridae</w:t>
      </w:r>
      <w:proofErr w:type="spellEnd"/>
      <w:r>
        <w:rPr>
          <w:rFonts w:ascii="Liberation Serif" w:hAnsi="Liberation Serif" w:cs="Arial"/>
        </w:rPr>
        <w:t xml:space="preserve"> (</w:t>
      </w:r>
      <w:proofErr w:type="spellStart"/>
      <w:r>
        <w:rPr>
          <w:rFonts w:ascii="Liberation Serif" w:hAnsi="Liberation Serif" w:cs="Arial"/>
          <w:b/>
          <w:bCs/>
        </w:rPr>
        <w:t>polyci</w:t>
      </w:r>
      <w:r>
        <w:rPr>
          <w:rFonts w:ascii="Liberation Serif" w:hAnsi="Liberation Serif" w:cs="Arial"/>
        </w:rPr>
        <w:t>stronic</w:t>
      </w:r>
      <w:proofErr w:type="spellEnd"/>
      <w:r>
        <w:rPr>
          <w:rFonts w:ascii="Liberation Serif" w:hAnsi="Liberation Serif" w:cs="Arial"/>
        </w:rPr>
        <w:t xml:space="preserve"> </w:t>
      </w:r>
      <w:proofErr w:type="spellStart"/>
      <w:r>
        <w:rPr>
          <w:rFonts w:ascii="Liberation Serif" w:hAnsi="Liberation Serif" w:cs="Arial"/>
          <w:b/>
          <w:bCs/>
        </w:rPr>
        <w:t>pi</w:t>
      </w:r>
      <w:r>
        <w:rPr>
          <w:rFonts w:ascii="Liberation Serif" w:hAnsi="Liberation Serif" w:cs="Arial"/>
        </w:rPr>
        <w:t>corna</w:t>
      </w:r>
      <w:proofErr w:type="spellEnd"/>
      <w:r>
        <w:rPr>
          <w:rFonts w:ascii="Liberation Serif" w:hAnsi="Liberation Serif" w:cs="Arial"/>
        </w:rPr>
        <w:t xml:space="preserve">-like viruses). The characteristic complement of picornavirus-like protein domains suggests that the </w:t>
      </w:r>
      <w:proofErr w:type="spellStart"/>
      <w:r>
        <w:rPr>
          <w:rFonts w:ascii="Liberation Serif" w:hAnsi="Liberation Serif" w:cs="Arial"/>
          <w:i/>
          <w:iCs/>
        </w:rPr>
        <w:t>Polycipiviridae</w:t>
      </w:r>
      <w:proofErr w:type="spellEnd"/>
      <w:r>
        <w:rPr>
          <w:rFonts w:ascii="Liberation Serif" w:hAnsi="Liberation Serif" w:cs="Arial"/>
        </w:rPr>
        <w:t xml:space="preserve"> should be included within the </w:t>
      </w:r>
      <w:proofErr w:type="spellStart"/>
      <w:r w:rsidRPr="002271C7">
        <w:rPr>
          <w:rFonts w:ascii="Liberation Serif" w:hAnsi="Liberation Serif" w:cs="Arial"/>
          <w:i/>
        </w:rPr>
        <w:t>Picornavirales</w:t>
      </w:r>
      <w:proofErr w:type="spellEnd"/>
      <w:r>
        <w:rPr>
          <w:rFonts w:ascii="Liberation Serif" w:hAnsi="Liberation Serif" w:cs="Arial"/>
        </w:rPr>
        <w:t xml:space="preserve"> order.</w:t>
      </w:r>
    </w:p>
    <w:p w14:paraId="71C5654F" w14:textId="77777777" w:rsidR="00DC3389" w:rsidRDefault="00DC3389"/>
    <w:p w14:paraId="3CCC8A60" w14:textId="1DA4B6EF" w:rsidR="00D178D5" w:rsidRDefault="00A84AF9">
      <w:r>
        <w:t xml:space="preserve">Although the </w:t>
      </w:r>
      <w:proofErr w:type="spellStart"/>
      <w:r>
        <w:t>polycipiviruses</w:t>
      </w:r>
      <w:proofErr w:type="spellEnd"/>
      <w:r>
        <w:t xml:space="preserve"> form a distinct clade, there is considerable diversity among the 15 available sequences (some ORF5 pairwise amino acid identities as low as 17%, Table 1). Thus, we suggest that the family should be split into a number of genera. A phylogenetic analysis of the </w:t>
      </w:r>
      <w:proofErr w:type="spellStart"/>
      <w:r>
        <w:t>polycipivirus</w:t>
      </w:r>
      <w:proofErr w:type="spellEnd"/>
      <w:r>
        <w:t xml:space="preserve"> ORF5 polypeptide sequences showed three distinct groups (Figure </w:t>
      </w:r>
      <w:r w:rsidR="00B37D15">
        <w:t>3</w:t>
      </w:r>
      <w:r>
        <w:t xml:space="preserve">). We propose the following groupings of the currently available sequences: </w:t>
      </w:r>
      <w:proofErr w:type="spellStart"/>
      <w:r>
        <w:rPr>
          <w:i/>
          <w:iCs/>
        </w:rPr>
        <w:t>Sopolycivirus</w:t>
      </w:r>
      <w:proofErr w:type="spellEnd"/>
      <w:r>
        <w:t xml:space="preserve"> (from </w:t>
      </w:r>
      <w:proofErr w:type="spellStart"/>
      <w:r>
        <w:rPr>
          <w:b/>
          <w:bCs/>
        </w:rPr>
        <w:t>So</w:t>
      </w:r>
      <w:r>
        <w:t>lenopsis</w:t>
      </w:r>
      <w:proofErr w:type="spellEnd"/>
      <w:r>
        <w:t xml:space="preserve"> </w:t>
      </w:r>
      <w:proofErr w:type="spellStart"/>
      <w:r>
        <w:t>invicta</w:t>
      </w:r>
      <w:proofErr w:type="spellEnd"/>
      <w:r>
        <w:t xml:space="preserve"> </w:t>
      </w:r>
      <w:proofErr w:type="spellStart"/>
      <w:r>
        <w:rPr>
          <w:b/>
          <w:bCs/>
        </w:rPr>
        <w:t>polyci</w:t>
      </w:r>
      <w:r>
        <w:t>pivirus</w:t>
      </w:r>
      <w:proofErr w:type="spellEnd"/>
      <w:r>
        <w:t>) to include SINV-2, SINV-4 and nine related sequences all of which contain ORF2b and all but one (</w:t>
      </w:r>
      <w:proofErr w:type="spellStart"/>
      <w:r>
        <w:t>Shuangao</w:t>
      </w:r>
      <w:proofErr w:type="spellEnd"/>
      <w:r>
        <w:t xml:space="preserve"> insect virus 8) are ant-associated; </w:t>
      </w:r>
      <w:proofErr w:type="spellStart"/>
      <w:r>
        <w:rPr>
          <w:i/>
          <w:iCs/>
        </w:rPr>
        <w:t>Hupolycivirus</w:t>
      </w:r>
      <w:proofErr w:type="spellEnd"/>
      <w:r>
        <w:t xml:space="preserve"> (from </w:t>
      </w:r>
      <w:r>
        <w:rPr>
          <w:b/>
          <w:bCs/>
        </w:rPr>
        <w:t>Hu</w:t>
      </w:r>
      <w:r>
        <w:t xml:space="preserve">bei </w:t>
      </w:r>
      <w:proofErr w:type="spellStart"/>
      <w:r>
        <w:t>picorna</w:t>
      </w:r>
      <w:proofErr w:type="spellEnd"/>
      <w:r>
        <w:t xml:space="preserve">-like virus 81 </w:t>
      </w:r>
      <w:proofErr w:type="spellStart"/>
      <w:r>
        <w:rPr>
          <w:b/>
          <w:bCs/>
        </w:rPr>
        <w:t>polyci</w:t>
      </w:r>
      <w:r>
        <w:t>pivirus</w:t>
      </w:r>
      <w:proofErr w:type="spellEnd"/>
      <w:r>
        <w:t xml:space="preserve">) to include the two Hubei </w:t>
      </w:r>
      <w:proofErr w:type="spellStart"/>
      <w:r>
        <w:t>picorna</w:t>
      </w:r>
      <w:proofErr w:type="spellEnd"/>
      <w:r>
        <w:t xml:space="preserve">-like virus 81 sequences; and </w:t>
      </w:r>
      <w:proofErr w:type="spellStart"/>
      <w:r w:rsidR="00505C4A">
        <w:rPr>
          <w:i/>
          <w:iCs/>
        </w:rPr>
        <w:t>Chi</w:t>
      </w:r>
      <w:r>
        <w:rPr>
          <w:i/>
          <w:iCs/>
        </w:rPr>
        <w:t>polycivirus</w:t>
      </w:r>
      <w:proofErr w:type="spellEnd"/>
      <w:r>
        <w:t xml:space="preserve"> (from </w:t>
      </w:r>
      <w:proofErr w:type="spellStart"/>
      <w:r w:rsidR="00505C4A" w:rsidRPr="00505C4A">
        <w:rPr>
          <w:b/>
          <w:bCs/>
        </w:rPr>
        <w:t>Chi</w:t>
      </w:r>
      <w:r w:rsidR="00505C4A" w:rsidRPr="00505C4A">
        <w:rPr>
          <w:bCs/>
        </w:rPr>
        <w:t>ronomid</w:t>
      </w:r>
      <w:proofErr w:type="spellEnd"/>
      <w:r w:rsidR="00505C4A" w:rsidRPr="00505C4A">
        <w:rPr>
          <w:bCs/>
        </w:rPr>
        <w:t xml:space="preserve"> </w:t>
      </w:r>
      <w:proofErr w:type="spellStart"/>
      <w:r w:rsidR="00505C4A" w:rsidRPr="00505C4A">
        <w:rPr>
          <w:bCs/>
        </w:rPr>
        <w:t>riparius</w:t>
      </w:r>
      <w:proofErr w:type="spellEnd"/>
      <w:r w:rsidR="00505C4A" w:rsidRPr="00505C4A">
        <w:rPr>
          <w:bCs/>
        </w:rPr>
        <w:t xml:space="preserve"> virus 1</w:t>
      </w:r>
      <w:r w:rsidR="00505C4A">
        <w:t xml:space="preserve"> </w:t>
      </w:r>
      <w:proofErr w:type="spellStart"/>
      <w:r>
        <w:rPr>
          <w:b/>
          <w:bCs/>
        </w:rPr>
        <w:t>polyci</w:t>
      </w:r>
      <w:r>
        <w:t>pivirus</w:t>
      </w:r>
      <w:proofErr w:type="spellEnd"/>
      <w:r>
        <w:t xml:space="preserve">) to include the </w:t>
      </w:r>
      <w:r>
        <w:rPr>
          <w:i/>
          <w:iCs/>
        </w:rPr>
        <w:t xml:space="preserve">C. </w:t>
      </w:r>
      <w:proofErr w:type="spellStart"/>
      <w:r>
        <w:rPr>
          <w:i/>
          <w:iCs/>
        </w:rPr>
        <w:t>riparius</w:t>
      </w:r>
      <w:proofErr w:type="spellEnd"/>
      <w:r>
        <w:t xml:space="preserve"> TSA and Hubei </w:t>
      </w:r>
      <w:proofErr w:type="spellStart"/>
      <w:r>
        <w:t>picorna</w:t>
      </w:r>
      <w:proofErr w:type="spellEnd"/>
      <w:r>
        <w:t xml:space="preserve">-like virus 82, both of which contain a GDD to ADD substitution in </w:t>
      </w:r>
      <w:proofErr w:type="spellStart"/>
      <w:r>
        <w:t>RdRp</w:t>
      </w:r>
      <w:proofErr w:type="spellEnd"/>
      <w:r>
        <w:t xml:space="preserve"> motif VI.</w:t>
      </w:r>
      <w:r w:rsidR="00D178D5">
        <w:t xml:space="preserve"> </w:t>
      </w:r>
    </w:p>
    <w:p w14:paraId="3596F952" w14:textId="77777777" w:rsidR="00F82597" w:rsidRDefault="00F82597"/>
    <w:p w14:paraId="7BE7988D" w14:textId="7ED44A49" w:rsidR="00F82597" w:rsidRPr="00F82597" w:rsidRDefault="00F82597">
      <w:pPr>
        <w:rPr>
          <w:b/>
        </w:rPr>
      </w:pPr>
      <w:r w:rsidRPr="00F82597">
        <w:rPr>
          <w:b/>
        </w:rPr>
        <w:t>Species Demarcation Criteria</w:t>
      </w:r>
    </w:p>
    <w:p w14:paraId="0DE55653" w14:textId="77777777" w:rsidR="00D178D5" w:rsidRDefault="00D178D5"/>
    <w:p w14:paraId="322D72A3" w14:textId="77777777" w:rsidR="00DC3389" w:rsidRDefault="00D178D5">
      <w:r>
        <w:t xml:space="preserve">We propose that, for the time-being, isolates </w:t>
      </w:r>
      <w:r w:rsidR="00A84AF9">
        <w:t xml:space="preserve">and strains </w:t>
      </w:r>
      <w:r>
        <w:t xml:space="preserve">are defined to be of the same species if they </w:t>
      </w:r>
      <w:r w:rsidR="00A84AF9">
        <w:t xml:space="preserve">have </w:t>
      </w:r>
      <w:r>
        <w:t xml:space="preserve">above 90% </w:t>
      </w:r>
      <w:r w:rsidR="00A84AF9">
        <w:t>amino</w:t>
      </w:r>
      <w:r>
        <w:t xml:space="preserve"> </w:t>
      </w:r>
      <w:r w:rsidR="00A84AF9">
        <w:t xml:space="preserve">acid sequence identity </w:t>
      </w:r>
      <w:r>
        <w:t>in</w:t>
      </w:r>
      <w:r w:rsidR="00A84AF9">
        <w:t xml:space="preserve"> the ORF5 polyprotein (Table 1</w:t>
      </w:r>
      <w:r>
        <w:t xml:space="preserve"> lists pairwise identities for current members</w:t>
      </w:r>
      <w:r w:rsidR="00A84AF9">
        <w:t>).</w:t>
      </w:r>
      <w:bookmarkStart w:id="18" w:name="_GoBack"/>
      <w:bookmarkEnd w:id="18"/>
    </w:p>
    <w:p w14:paraId="1493B1CE" w14:textId="77777777" w:rsidR="00D178D5" w:rsidRDefault="00D178D5"/>
    <w:p w14:paraId="0118F678" w14:textId="0454018E" w:rsidR="00D178D5" w:rsidRDefault="00D178D5">
      <w:r>
        <w:t>Type species are</w:t>
      </w:r>
      <w:r w:rsidR="00B37D15">
        <w:t>:</w:t>
      </w:r>
      <w:r>
        <w:t xml:space="preserve"> </w:t>
      </w:r>
      <w:proofErr w:type="spellStart"/>
      <w:r w:rsidRPr="00D178D5">
        <w:rPr>
          <w:i/>
        </w:rPr>
        <w:t>Polycipiviridae</w:t>
      </w:r>
      <w:proofErr w:type="spellEnd"/>
      <w:r>
        <w:t xml:space="preserve"> and </w:t>
      </w:r>
      <w:proofErr w:type="spellStart"/>
      <w:r>
        <w:rPr>
          <w:i/>
          <w:iCs/>
        </w:rPr>
        <w:t>Sopolycivirus</w:t>
      </w:r>
      <w:proofErr w:type="spellEnd"/>
      <w:r>
        <w:rPr>
          <w:i/>
          <w:iCs/>
        </w:rPr>
        <w:t xml:space="preserve"> </w:t>
      </w:r>
      <w:r w:rsidRPr="00D178D5">
        <w:rPr>
          <w:iCs/>
        </w:rPr>
        <w:t>-</w:t>
      </w:r>
      <w:r>
        <w:rPr>
          <w:i/>
          <w:iCs/>
        </w:rPr>
        <w:t xml:space="preserve"> </w:t>
      </w:r>
      <w:proofErr w:type="spellStart"/>
      <w:r>
        <w:rPr>
          <w:i/>
          <w:iCs/>
        </w:rPr>
        <w:t>Solenopsis</w:t>
      </w:r>
      <w:proofErr w:type="spellEnd"/>
      <w:r>
        <w:rPr>
          <w:i/>
          <w:iCs/>
        </w:rPr>
        <w:t xml:space="preserve"> </w:t>
      </w:r>
      <w:proofErr w:type="spellStart"/>
      <w:r>
        <w:rPr>
          <w:i/>
          <w:iCs/>
        </w:rPr>
        <w:t>invicta</w:t>
      </w:r>
      <w:proofErr w:type="spellEnd"/>
      <w:r>
        <w:rPr>
          <w:i/>
          <w:iCs/>
        </w:rPr>
        <w:t xml:space="preserve"> virus 2 </w:t>
      </w:r>
      <w:r w:rsidRPr="00D178D5">
        <w:rPr>
          <w:iCs/>
        </w:rPr>
        <w:t>(</w:t>
      </w:r>
      <w:r>
        <w:rPr>
          <w:iCs/>
        </w:rPr>
        <w:t>as the first and best characterized member of the family and genus</w:t>
      </w:r>
      <w:r w:rsidRPr="00D178D5">
        <w:rPr>
          <w:iCs/>
        </w:rPr>
        <w:t>);</w:t>
      </w:r>
      <w:r>
        <w:rPr>
          <w:i/>
          <w:iCs/>
        </w:rPr>
        <w:t xml:space="preserve"> </w:t>
      </w:r>
      <w:proofErr w:type="spellStart"/>
      <w:r>
        <w:rPr>
          <w:i/>
          <w:iCs/>
        </w:rPr>
        <w:t>Hupolycivirus</w:t>
      </w:r>
      <w:proofErr w:type="spellEnd"/>
      <w:r>
        <w:rPr>
          <w:i/>
          <w:iCs/>
        </w:rPr>
        <w:t xml:space="preserve"> </w:t>
      </w:r>
      <w:r w:rsidRPr="00D178D5">
        <w:rPr>
          <w:iCs/>
        </w:rPr>
        <w:t>-</w:t>
      </w:r>
      <w:r>
        <w:rPr>
          <w:i/>
          <w:iCs/>
        </w:rPr>
        <w:t xml:space="preserve"> </w:t>
      </w:r>
      <w:r w:rsidRPr="00D178D5">
        <w:rPr>
          <w:bCs/>
          <w:i/>
        </w:rPr>
        <w:t>Hu</w:t>
      </w:r>
      <w:r w:rsidRPr="00D178D5">
        <w:rPr>
          <w:i/>
        </w:rPr>
        <w:t xml:space="preserve">bei </w:t>
      </w:r>
      <w:proofErr w:type="spellStart"/>
      <w:r w:rsidRPr="00D178D5">
        <w:rPr>
          <w:i/>
        </w:rPr>
        <w:t>picorna</w:t>
      </w:r>
      <w:proofErr w:type="spellEnd"/>
      <w:r w:rsidRPr="00D178D5">
        <w:rPr>
          <w:i/>
        </w:rPr>
        <w:t>-like virus 81</w:t>
      </w:r>
      <w:r>
        <w:t xml:space="preserve"> (as the only species in the </w:t>
      </w:r>
      <w:r w:rsidR="000D39F0">
        <w:t>genus</w:t>
      </w:r>
      <w:r>
        <w:t xml:space="preserve">); and </w:t>
      </w:r>
      <w:proofErr w:type="spellStart"/>
      <w:r w:rsidR="00505C4A">
        <w:rPr>
          <w:i/>
          <w:iCs/>
        </w:rPr>
        <w:t>Chi</w:t>
      </w:r>
      <w:r>
        <w:rPr>
          <w:i/>
          <w:iCs/>
        </w:rPr>
        <w:t>polycivirus</w:t>
      </w:r>
      <w:proofErr w:type="spellEnd"/>
      <w:r>
        <w:rPr>
          <w:i/>
          <w:iCs/>
        </w:rPr>
        <w:t xml:space="preserve"> </w:t>
      </w:r>
      <w:r w:rsidRPr="00D178D5">
        <w:rPr>
          <w:iCs/>
        </w:rPr>
        <w:t>-</w:t>
      </w:r>
      <w:r>
        <w:rPr>
          <w:i/>
          <w:iCs/>
        </w:rPr>
        <w:t xml:space="preserve"> </w:t>
      </w:r>
      <w:proofErr w:type="spellStart"/>
      <w:r w:rsidR="00505C4A">
        <w:rPr>
          <w:i/>
        </w:rPr>
        <w:t>Chironomid</w:t>
      </w:r>
      <w:proofErr w:type="spellEnd"/>
      <w:r w:rsidRPr="00D178D5">
        <w:rPr>
          <w:i/>
        </w:rPr>
        <w:t xml:space="preserve"> </w:t>
      </w:r>
      <w:proofErr w:type="spellStart"/>
      <w:r w:rsidR="00505C4A">
        <w:rPr>
          <w:i/>
        </w:rPr>
        <w:t>riparius</w:t>
      </w:r>
      <w:proofErr w:type="spellEnd"/>
      <w:r w:rsidR="00505C4A">
        <w:rPr>
          <w:i/>
        </w:rPr>
        <w:t xml:space="preserve"> </w:t>
      </w:r>
      <w:r w:rsidRPr="00D178D5">
        <w:rPr>
          <w:i/>
        </w:rPr>
        <w:t xml:space="preserve">virus </w:t>
      </w:r>
      <w:r w:rsidR="00505C4A">
        <w:rPr>
          <w:i/>
        </w:rPr>
        <w:t>1</w:t>
      </w:r>
      <w:r w:rsidR="007E0252">
        <w:rPr>
          <w:i/>
        </w:rPr>
        <w:t xml:space="preserve"> </w:t>
      </w:r>
      <w:r w:rsidR="007E0252" w:rsidRPr="007E0252">
        <w:t xml:space="preserve">(as the </w:t>
      </w:r>
      <w:r w:rsidR="007E0252">
        <w:t xml:space="preserve">host organism is less certain for the </w:t>
      </w:r>
      <w:r w:rsidR="009669A8">
        <w:t xml:space="preserve">only </w:t>
      </w:r>
      <w:r w:rsidR="007E0252">
        <w:t xml:space="preserve">other </w:t>
      </w:r>
      <w:r w:rsidR="007E0252" w:rsidRPr="007E0252">
        <w:t xml:space="preserve">species </w:t>
      </w:r>
      <w:r w:rsidR="007E0252">
        <w:t>in the genus)</w:t>
      </w:r>
      <w:r>
        <w:t>.</w:t>
      </w:r>
    </w:p>
    <w:p w14:paraId="35B409C6" w14:textId="77777777" w:rsidR="00DC3389" w:rsidRDefault="00DC3389"/>
    <w:p w14:paraId="56E7C2E7" w14:textId="104BE566" w:rsidR="00F20A86" w:rsidRDefault="00F20A86">
      <w:r>
        <w:br w:type="page"/>
      </w:r>
    </w:p>
    <w:p w14:paraId="4AAC3BD7" w14:textId="77777777" w:rsidR="00DC3389" w:rsidRDefault="00DC3389"/>
    <w:tbl>
      <w:tblPr>
        <w:tblW w:w="9458" w:type="dxa"/>
        <w:tblInd w:w="5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CellMar>
          <w:top w:w="55" w:type="dxa"/>
          <w:left w:w="54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567"/>
      </w:tblGrid>
      <w:tr w:rsidR="00DC3389" w14:paraId="49E9B5CF" w14:textId="77777777" w:rsidTr="00F20A86">
        <w:trPr>
          <w:trHeight w:val="82"/>
        </w:trPr>
        <w:tc>
          <w:tcPr>
            <w:tcW w:w="9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left w:w="54" w:type="dxa"/>
            </w:tcMar>
          </w:tcPr>
          <w:p w14:paraId="142CF249" w14:textId="516EEF38" w:rsidR="00DC3389" w:rsidRDefault="00D60638">
            <w:pPr>
              <w:pStyle w:val="TableContents"/>
            </w:pPr>
            <w:r>
              <w:rPr>
                <w:noProof/>
                <w:lang w:val="en-GB" w:eastAsia="en-GB"/>
              </w:rPr>
              <w:drawing>
                <wp:inline distT="0" distB="0" distL="0" distR="0" wp14:anchorId="27DC21E5" wp14:editId="66B4FB64">
                  <wp:extent cx="6005830" cy="4074795"/>
                  <wp:effectExtent l="0" t="0" r="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Figure4r.jpg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05830" cy="40747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9457D6F" w14:textId="77777777" w:rsidR="00DC3389" w:rsidRDefault="00DC3389">
            <w:pPr>
              <w:pStyle w:val="TableContents"/>
            </w:pPr>
          </w:p>
        </w:tc>
      </w:tr>
      <w:tr w:rsidR="00DC3389" w14:paraId="1B2A11F4" w14:textId="77777777">
        <w:tc>
          <w:tcPr>
            <w:tcW w:w="945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left w:w="54" w:type="dxa"/>
            </w:tcMar>
          </w:tcPr>
          <w:p w14:paraId="25F09FAA" w14:textId="49EE6531" w:rsidR="00DC3389" w:rsidRDefault="00A84AF9" w:rsidP="005D3113">
            <w:pPr>
              <w:pStyle w:val="TableContents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Figure </w:t>
            </w:r>
            <w:r w:rsidR="00CD43A4">
              <w:rPr>
                <w:b/>
                <w:bCs/>
                <w:sz w:val="20"/>
                <w:szCs w:val="20"/>
              </w:rPr>
              <w:t>3</w:t>
            </w:r>
            <w:r>
              <w:rPr>
                <w:b/>
                <w:bCs/>
                <w:sz w:val="20"/>
                <w:szCs w:val="20"/>
              </w:rPr>
              <w:t xml:space="preserve">. Phylogenetic tree of the proposed family </w:t>
            </w:r>
            <w:proofErr w:type="spellStart"/>
            <w:r w:rsidRPr="00D60638">
              <w:rPr>
                <w:b/>
                <w:bCs/>
                <w:i/>
                <w:sz w:val="20"/>
                <w:szCs w:val="20"/>
              </w:rPr>
              <w:t>Polycipiviridae</w:t>
            </w:r>
            <w:proofErr w:type="spellEnd"/>
            <w:r>
              <w:rPr>
                <w:b/>
                <w:bCs/>
                <w:sz w:val="20"/>
                <w:szCs w:val="20"/>
              </w:rPr>
              <w:t>.</w:t>
            </w:r>
            <w:r>
              <w:rPr>
                <w:sz w:val="20"/>
                <w:szCs w:val="20"/>
              </w:rPr>
              <w:t xml:space="preserve"> ORF5 amino acid sequences were aligned with MUSCLE, and a Bayesian Markov chain Monte Carlo based phylogenetic tree was produced with </w:t>
            </w:r>
            <w:proofErr w:type="spellStart"/>
            <w:r>
              <w:rPr>
                <w:sz w:val="20"/>
                <w:szCs w:val="20"/>
              </w:rPr>
              <w:t>MrBayes</w:t>
            </w:r>
            <w:proofErr w:type="spellEnd"/>
            <w:r>
              <w:rPr>
                <w:sz w:val="20"/>
                <w:szCs w:val="20"/>
              </w:rPr>
              <w:t xml:space="preserve">. All posterior probabilities were equal to 1.00. The tree was mid-point rooted and visualized with </w:t>
            </w:r>
            <w:proofErr w:type="spellStart"/>
            <w:r>
              <w:rPr>
                <w:sz w:val="20"/>
                <w:szCs w:val="20"/>
              </w:rPr>
              <w:t>FigTree</w:t>
            </w:r>
            <w:proofErr w:type="spellEnd"/>
            <w:r>
              <w:rPr>
                <w:sz w:val="20"/>
                <w:szCs w:val="20"/>
              </w:rPr>
              <w:t xml:space="preserve">. TSA indicates sequences obtained from the NCBI Transcriptome Shotgun Assembly database. Proposed </w:t>
            </w:r>
            <w:proofErr w:type="spellStart"/>
            <w:r w:rsidRPr="000D39F0">
              <w:rPr>
                <w:i/>
                <w:sz w:val="20"/>
                <w:szCs w:val="20"/>
              </w:rPr>
              <w:t>Polycipiviridae</w:t>
            </w:r>
            <w:proofErr w:type="spellEnd"/>
            <w:r>
              <w:rPr>
                <w:sz w:val="20"/>
                <w:szCs w:val="20"/>
              </w:rPr>
              <w:t xml:space="preserve"> genera – </w:t>
            </w:r>
            <w:proofErr w:type="spellStart"/>
            <w:r w:rsidR="007E0252">
              <w:rPr>
                <w:i/>
                <w:sz w:val="20"/>
                <w:szCs w:val="20"/>
              </w:rPr>
              <w:t>Ch</w:t>
            </w:r>
            <w:r w:rsidRPr="000D39F0">
              <w:rPr>
                <w:i/>
                <w:sz w:val="20"/>
                <w:szCs w:val="20"/>
              </w:rPr>
              <w:t>ipolycivirus</w:t>
            </w:r>
            <w:proofErr w:type="spellEnd"/>
            <w:r>
              <w:rPr>
                <w:sz w:val="20"/>
                <w:szCs w:val="20"/>
              </w:rPr>
              <w:t xml:space="preserve">, </w:t>
            </w:r>
            <w:proofErr w:type="spellStart"/>
            <w:r w:rsidRPr="000D39F0">
              <w:rPr>
                <w:i/>
                <w:sz w:val="20"/>
                <w:szCs w:val="20"/>
              </w:rPr>
              <w:t>Hupolycivirus</w:t>
            </w:r>
            <w:proofErr w:type="spellEnd"/>
            <w:r>
              <w:rPr>
                <w:sz w:val="20"/>
                <w:szCs w:val="20"/>
              </w:rPr>
              <w:t xml:space="preserve"> and </w:t>
            </w:r>
            <w:proofErr w:type="spellStart"/>
            <w:r w:rsidRPr="000D39F0">
              <w:rPr>
                <w:i/>
                <w:sz w:val="20"/>
                <w:szCs w:val="20"/>
              </w:rPr>
              <w:t>Sopolycivirus</w:t>
            </w:r>
            <w:proofErr w:type="spellEnd"/>
            <w:r>
              <w:rPr>
                <w:sz w:val="20"/>
                <w:szCs w:val="20"/>
              </w:rPr>
              <w:t xml:space="preserve"> – are delineated with boxes. For </w:t>
            </w:r>
            <w:proofErr w:type="spellStart"/>
            <w:r>
              <w:rPr>
                <w:sz w:val="20"/>
                <w:szCs w:val="20"/>
              </w:rPr>
              <w:t>sopolyciviruses</w:t>
            </w:r>
            <w:proofErr w:type="spellEnd"/>
            <w:r>
              <w:rPr>
                <w:sz w:val="20"/>
                <w:szCs w:val="20"/>
              </w:rPr>
              <w:t xml:space="preserve">, the host ant subfamilies are indicated at right. (Figure reproduced from </w:t>
            </w:r>
            <w:proofErr w:type="spellStart"/>
            <w:r>
              <w:rPr>
                <w:sz w:val="20"/>
                <w:szCs w:val="20"/>
              </w:rPr>
              <w:t>Olendraite</w:t>
            </w:r>
            <w:proofErr w:type="spellEnd"/>
            <w:r>
              <w:rPr>
                <w:sz w:val="20"/>
                <w:szCs w:val="20"/>
              </w:rPr>
              <w:t xml:space="preserve"> et al., 2017.)</w:t>
            </w:r>
          </w:p>
        </w:tc>
      </w:tr>
    </w:tbl>
    <w:p w14:paraId="10492724" w14:textId="77777777" w:rsidR="00DC3389" w:rsidRDefault="00DC3389"/>
    <w:tbl>
      <w:tblPr>
        <w:tblW w:w="9750" w:type="dxa"/>
        <w:tblInd w:w="-361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CellMar>
          <w:top w:w="55" w:type="dxa"/>
          <w:left w:w="54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750"/>
      </w:tblGrid>
      <w:tr w:rsidR="00DC3389" w14:paraId="1B4B6AB5" w14:textId="77777777">
        <w:trPr>
          <w:trHeight w:val="3118"/>
        </w:trPr>
        <w:tc>
          <w:tcPr>
            <w:tcW w:w="97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left w:w="54" w:type="dxa"/>
            </w:tcMar>
          </w:tcPr>
          <w:p w14:paraId="616F5768" w14:textId="77777777" w:rsidR="00DC3389" w:rsidRDefault="00A84AF9">
            <w:pPr>
              <w:pStyle w:val="TableContents"/>
            </w:pPr>
            <w:r>
              <w:rPr>
                <w:noProof/>
                <w:lang w:val="en-GB" w:eastAsia="en-GB"/>
              </w:rPr>
              <w:lastRenderedPageBreak/>
              <w:drawing>
                <wp:anchor distT="0" distB="0" distL="0" distR="0" simplePos="0" relativeHeight="5" behindDoc="0" locked="0" layoutInCell="1" allowOverlap="1" wp14:anchorId="70475BF3" wp14:editId="7C9F7E1F">
                  <wp:simplePos x="0" y="0"/>
                  <wp:positionH relativeFrom="column">
                    <wp:posOffset>2105660</wp:posOffset>
                  </wp:positionH>
                  <wp:positionV relativeFrom="paragraph">
                    <wp:posOffset>152400</wp:posOffset>
                  </wp:positionV>
                  <wp:extent cx="1910080" cy="6998970"/>
                  <wp:effectExtent l="0" t="0" r="0" b="0"/>
                  <wp:wrapSquare wrapText="largest"/>
                  <wp:docPr id="4" name="Image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0080" cy="69989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07792DFD" w14:textId="77777777" w:rsidR="00DC3389" w:rsidRDefault="00DC3389">
            <w:pPr>
              <w:pStyle w:val="TableContents"/>
            </w:pPr>
          </w:p>
          <w:p w14:paraId="4EE60A64" w14:textId="77777777" w:rsidR="00DC3389" w:rsidRDefault="00DC3389">
            <w:pPr>
              <w:pStyle w:val="TableContents"/>
            </w:pPr>
          </w:p>
          <w:p w14:paraId="6A29831B" w14:textId="77777777" w:rsidR="00DC3389" w:rsidRDefault="00DC3389">
            <w:pPr>
              <w:pStyle w:val="TableContents"/>
            </w:pPr>
          </w:p>
          <w:p w14:paraId="55978869" w14:textId="77777777" w:rsidR="00DC3389" w:rsidRDefault="00DC3389">
            <w:pPr>
              <w:pStyle w:val="TableContents"/>
              <w:ind w:right="397"/>
            </w:pPr>
          </w:p>
          <w:p w14:paraId="315909AC" w14:textId="77777777" w:rsidR="00DC3389" w:rsidRDefault="00DC3389">
            <w:pPr>
              <w:pStyle w:val="TableContents"/>
            </w:pPr>
          </w:p>
          <w:p w14:paraId="3FD4EA0B" w14:textId="77777777" w:rsidR="00DC3389" w:rsidRDefault="00DC3389">
            <w:pPr>
              <w:pStyle w:val="TableContents"/>
            </w:pPr>
          </w:p>
          <w:p w14:paraId="66238AAD" w14:textId="77777777" w:rsidR="00DC3389" w:rsidRDefault="00DC3389">
            <w:pPr>
              <w:pStyle w:val="TableContents"/>
            </w:pPr>
          </w:p>
          <w:p w14:paraId="7C8BF126" w14:textId="77777777" w:rsidR="00DC3389" w:rsidRDefault="00DC3389">
            <w:pPr>
              <w:pStyle w:val="TableContents"/>
            </w:pPr>
          </w:p>
          <w:p w14:paraId="1FAF4AFF" w14:textId="77777777" w:rsidR="00DC3389" w:rsidRDefault="00DC3389">
            <w:pPr>
              <w:pStyle w:val="TableContents"/>
            </w:pPr>
          </w:p>
          <w:p w14:paraId="22DCECC9" w14:textId="77777777" w:rsidR="00DC3389" w:rsidRDefault="00DC3389">
            <w:pPr>
              <w:pStyle w:val="TableContents"/>
            </w:pPr>
          </w:p>
          <w:p w14:paraId="10748DD3" w14:textId="77777777" w:rsidR="00DC3389" w:rsidRDefault="00DC3389">
            <w:pPr>
              <w:pStyle w:val="TableContents"/>
            </w:pPr>
          </w:p>
          <w:p w14:paraId="627190F9" w14:textId="77777777" w:rsidR="00DC3389" w:rsidRDefault="00DC3389">
            <w:pPr>
              <w:pStyle w:val="TableContents"/>
            </w:pPr>
          </w:p>
          <w:p w14:paraId="39D37893" w14:textId="77777777" w:rsidR="00DC3389" w:rsidRDefault="00DC3389">
            <w:pPr>
              <w:pStyle w:val="TableContents"/>
            </w:pPr>
          </w:p>
          <w:p w14:paraId="00C56A43" w14:textId="77777777" w:rsidR="00DC3389" w:rsidRDefault="00DC3389">
            <w:pPr>
              <w:pStyle w:val="TableContents"/>
            </w:pPr>
          </w:p>
          <w:p w14:paraId="308A2B10" w14:textId="77777777" w:rsidR="00DC3389" w:rsidRDefault="00DC3389">
            <w:pPr>
              <w:pStyle w:val="TableContents"/>
            </w:pPr>
          </w:p>
          <w:p w14:paraId="3FA2CA6C" w14:textId="77777777" w:rsidR="00DC3389" w:rsidRDefault="00DC3389">
            <w:pPr>
              <w:pStyle w:val="TableContents"/>
            </w:pPr>
          </w:p>
          <w:p w14:paraId="633C6CC2" w14:textId="77777777" w:rsidR="00DC3389" w:rsidRDefault="00DC3389">
            <w:pPr>
              <w:pStyle w:val="TableContents"/>
            </w:pPr>
          </w:p>
          <w:p w14:paraId="202536A1" w14:textId="77777777" w:rsidR="00DC3389" w:rsidRDefault="00DC3389">
            <w:pPr>
              <w:pStyle w:val="TableContents"/>
            </w:pPr>
          </w:p>
          <w:p w14:paraId="4EAD8465" w14:textId="77777777" w:rsidR="00DC3389" w:rsidRDefault="00DC3389">
            <w:pPr>
              <w:pStyle w:val="TableContents"/>
            </w:pPr>
          </w:p>
          <w:p w14:paraId="71BD0296" w14:textId="77777777" w:rsidR="00DC3389" w:rsidRDefault="00DC3389">
            <w:pPr>
              <w:pStyle w:val="TableContents"/>
            </w:pPr>
          </w:p>
          <w:p w14:paraId="7B1923E8" w14:textId="77777777" w:rsidR="00DC3389" w:rsidRDefault="00DC3389">
            <w:pPr>
              <w:pStyle w:val="TableContents"/>
            </w:pPr>
          </w:p>
          <w:p w14:paraId="0E837F62" w14:textId="77777777" w:rsidR="00DC3389" w:rsidRDefault="00DC3389">
            <w:pPr>
              <w:pStyle w:val="TableContents"/>
            </w:pPr>
          </w:p>
          <w:p w14:paraId="65BA8F11" w14:textId="77777777" w:rsidR="00DC3389" w:rsidRDefault="00DC3389">
            <w:pPr>
              <w:pStyle w:val="TableContents"/>
            </w:pPr>
          </w:p>
          <w:p w14:paraId="410F6F6B" w14:textId="77777777" w:rsidR="00DC3389" w:rsidRDefault="00DC3389">
            <w:pPr>
              <w:pStyle w:val="TableContents"/>
            </w:pPr>
          </w:p>
          <w:p w14:paraId="08323976" w14:textId="77777777" w:rsidR="00DC3389" w:rsidRDefault="00DC3389">
            <w:pPr>
              <w:pStyle w:val="TableContents"/>
            </w:pPr>
          </w:p>
          <w:p w14:paraId="09D31254" w14:textId="77777777" w:rsidR="00DC3389" w:rsidRDefault="00DC3389">
            <w:pPr>
              <w:pStyle w:val="TableContents"/>
            </w:pPr>
          </w:p>
          <w:p w14:paraId="0172C54F" w14:textId="77777777" w:rsidR="00DC3389" w:rsidRDefault="00DC3389">
            <w:pPr>
              <w:pStyle w:val="TableContents"/>
            </w:pPr>
          </w:p>
          <w:p w14:paraId="2B08224B" w14:textId="77777777" w:rsidR="00DC3389" w:rsidRDefault="00DC3389">
            <w:pPr>
              <w:pStyle w:val="TableContents"/>
            </w:pPr>
          </w:p>
          <w:p w14:paraId="721872BB" w14:textId="77777777" w:rsidR="00DC3389" w:rsidRDefault="00DC3389">
            <w:pPr>
              <w:pStyle w:val="TableContents"/>
            </w:pPr>
          </w:p>
          <w:p w14:paraId="2EF67352" w14:textId="77777777" w:rsidR="00DC3389" w:rsidRDefault="00DC3389">
            <w:pPr>
              <w:pStyle w:val="TableContents"/>
            </w:pPr>
          </w:p>
          <w:p w14:paraId="3FB2EAEE" w14:textId="77777777" w:rsidR="00DC3389" w:rsidRDefault="00DC3389">
            <w:pPr>
              <w:pStyle w:val="TableContents"/>
            </w:pPr>
          </w:p>
          <w:p w14:paraId="4DEB73A4" w14:textId="77777777" w:rsidR="00DC3389" w:rsidRDefault="00DC3389">
            <w:pPr>
              <w:pStyle w:val="TableContents"/>
            </w:pPr>
          </w:p>
          <w:p w14:paraId="5CC049D8" w14:textId="77777777" w:rsidR="00DC3389" w:rsidRDefault="00DC3389">
            <w:pPr>
              <w:pStyle w:val="TableContents"/>
            </w:pPr>
          </w:p>
          <w:p w14:paraId="57DDD98E" w14:textId="77777777" w:rsidR="00DC3389" w:rsidRDefault="00DC3389">
            <w:pPr>
              <w:pStyle w:val="TableContents"/>
            </w:pPr>
          </w:p>
          <w:p w14:paraId="74F0009D" w14:textId="77777777" w:rsidR="00DC3389" w:rsidRDefault="00DC3389">
            <w:pPr>
              <w:pStyle w:val="TableContents"/>
            </w:pPr>
          </w:p>
          <w:p w14:paraId="365473AF" w14:textId="77777777" w:rsidR="00DC3389" w:rsidRDefault="00DC3389">
            <w:pPr>
              <w:pStyle w:val="TableContents"/>
            </w:pPr>
          </w:p>
          <w:p w14:paraId="60E6C2BC" w14:textId="77777777" w:rsidR="00DC3389" w:rsidRDefault="00DC3389">
            <w:pPr>
              <w:pStyle w:val="TableContents"/>
            </w:pPr>
          </w:p>
          <w:p w14:paraId="0FC98F0D" w14:textId="77777777" w:rsidR="00DC3389" w:rsidRDefault="00DC3389">
            <w:pPr>
              <w:pStyle w:val="TableContents"/>
            </w:pPr>
          </w:p>
          <w:p w14:paraId="428196A7" w14:textId="77777777" w:rsidR="00DC3389" w:rsidRDefault="00DC3389">
            <w:pPr>
              <w:pStyle w:val="TableContents"/>
            </w:pPr>
          </w:p>
          <w:p w14:paraId="007D4F9A" w14:textId="77777777" w:rsidR="00DC3389" w:rsidRDefault="00DC3389">
            <w:pPr>
              <w:pStyle w:val="TableContents"/>
            </w:pPr>
          </w:p>
          <w:p w14:paraId="62636CA2" w14:textId="77777777" w:rsidR="00DC3389" w:rsidRDefault="00DC3389">
            <w:pPr>
              <w:pStyle w:val="TableContents"/>
            </w:pPr>
          </w:p>
        </w:tc>
      </w:tr>
      <w:tr w:rsidR="00DC3389" w14:paraId="13A5269E" w14:textId="77777777">
        <w:tc>
          <w:tcPr>
            <w:tcW w:w="9750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left w:w="54" w:type="dxa"/>
            </w:tcMar>
          </w:tcPr>
          <w:p w14:paraId="37495741" w14:textId="14526E2C" w:rsidR="00DC3389" w:rsidRDefault="00A84AF9" w:rsidP="00633FE2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Table 1. </w:t>
            </w:r>
            <w:r w:rsidR="00633FE2">
              <w:rPr>
                <w:b/>
                <w:bCs/>
                <w:sz w:val="20"/>
                <w:szCs w:val="20"/>
              </w:rPr>
              <w:t>P</w:t>
            </w:r>
            <w:r>
              <w:rPr>
                <w:b/>
                <w:bCs/>
                <w:sz w:val="20"/>
                <w:szCs w:val="20"/>
              </w:rPr>
              <w:t xml:space="preserve">airwise identities </w:t>
            </w:r>
            <w:r w:rsidR="00633FE2">
              <w:rPr>
                <w:b/>
                <w:bCs/>
                <w:sz w:val="20"/>
                <w:szCs w:val="20"/>
              </w:rPr>
              <w:t xml:space="preserve">(%) </w:t>
            </w:r>
            <w:r>
              <w:rPr>
                <w:b/>
                <w:bCs/>
                <w:sz w:val="20"/>
                <w:szCs w:val="20"/>
              </w:rPr>
              <w:t>of ORF5 amino acid</w:t>
            </w:r>
            <w:r w:rsidR="00FF0ADB">
              <w:rPr>
                <w:b/>
                <w:bCs/>
                <w:sz w:val="20"/>
                <w:szCs w:val="20"/>
              </w:rPr>
              <w:t xml:space="preserve"> </w:t>
            </w:r>
            <w:r>
              <w:rPr>
                <w:b/>
                <w:bCs/>
                <w:sz w:val="20"/>
                <w:szCs w:val="20"/>
              </w:rPr>
              <w:t>s</w:t>
            </w:r>
            <w:r w:rsidR="00FF0ADB">
              <w:rPr>
                <w:b/>
                <w:bCs/>
                <w:sz w:val="20"/>
                <w:szCs w:val="20"/>
              </w:rPr>
              <w:t>equences</w:t>
            </w:r>
            <w:r>
              <w:rPr>
                <w:b/>
                <w:bCs/>
                <w:sz w:val="20"/>
                <w:szCs w:val="20"/>
              </w:rPr>
              <w:t xml:space="preserve"> of proposed</w:t>
            </w:r>
            <w:r w:rsidR="00633FE2">
              <w:rPr>
                <w:b/>
                <w:bCs/>
                <w:sz w:val="20"/>
                <w:szCs w:val="20"/>
              </w:rPr>
              <w:t xml:space="preserve"> family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b/>
                <w:bCs/>
                <w:i/>
                <w:iCs/>
                <w:sz w:val="20"/>
                <w:szCs w:val="20"/>
              </w:rPr>
              <w:t>Polycipiviridae</w:t>
            </w:r>
            <w:proofErr w:type="spellEnd"/>
            <w:r>
              <w:rPr>
                <w:b/>
                <w:bCs/>
                <w:i/>
                <w:iCs/>
                <w:sz w:val="20"/>
                <w:szCs w:val="20"/>
              </w:rPr>
              <w:t xml:space="preserve"> </w:t>
            </w:r>
            <w:r w:rsidR="00633FE2">
              <w:rPr>
                <w:b/>
                <w:bCs/>
                <w:sz w:val="20"/>
                <w:szCs w:val="20"/>
              </w:rPr>
              <w:t>members</w:t>
            </w:r>
          </w:p>
        </w:tc>
      </w:tr>
    </w:tbl>
    <w:p w14:paraId="11DF733B" w14:textId="77777777" w:rsidR="00DC3389" w:rsidRDefault="00DC3389"/>
    <w:p w14:paraId="445457D4" w14:textId="77777777" w:rsidR="00DC3389" w:rsidRDefault="00DC3389"/>
    <w:p w14:paraId="2081DD6E" w14:textId="227B317A" w:rsidR="00DC3389" w:rsidRDefault="00A84AF9" w:rsidP="000D39F0">
      <w:pPr>
        <w:spacing w:after="80"/>
      </w:pP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" behindDoc="1" locked="0" layoutInCell="1" allowOverlap="1" wp14:anchorId="0DB66D6A" wp14:editId="2A90429E">
                <wp:simplePos x="0" y="0"/>
                <wp:positionH relativeFrom="column">
                  <wp:posOffset>0</wp:posOffset>
                </wp:positionH>
                <wp:positionV relativeFrom="paragraph">
                  <wp:posOffset>196850</wp:posOffset>
                </wp:positionV>
                <wp:extent cx="3931285" cy="1905"/>
                <wp:effectExtent l="0" t="0" r="0" b="0"/>
                <wp:wrapNone/>
                <wp:docPr id="5" name="graphic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930480" cy="1440"/>
                        </a:xfrm>
                        <a:prstGeom prst="line">
                          <a:avLst/>
                        </a:prstGeom>
                        <a:ln w="25560">
                          <a:solidFill>
                            <a:srgbClr val="000080"/>
                          </a:solidFill>
                          <a:round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4151031" id="graphic2" o:spid="_x0000_s1026" style="position:absolute;z-index:-50331647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5.5pt" to="309.55pt,1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" strokecolor="navy" strokeweight=".71mm"/>
            </w:pict>
          </mc:Fallback>
        </mc:AlternateContent>
      </w:r>
    </w:p>
    <w:p w14:paraId="311888EC" w14:textId="77777777" w:rsidR="00DC3389" w:rsidRDefault="00DC3389" w:rsidP="000D39F0">
      <w:pPr>
        <w:spacing w:after="80"/>
        <w:rPr>
          <w:sz w:val="20"/>
          <w:szCs w:val="20"/>
        </w:rPr>
      </w:pPr>
    </w:p>
    <w:p w14:paraId="154995E9" w14:textId="77777777" w:rsidR="00DC3389" w:rsidRDefault="00DC3389" w:rsidP="000D39F0">
      <w:pPr>
        <w:spacing w:after="80"/>
        <w:sectPr w:rsidR="00DC3389">
          <w:type w:val="continuous"/>
          <w:pgSz w:w="11906" w:h="16838"/>
          <w:pgMar w:top="1296" w:right="1008" w:bottom="1440" w:left="1440" w:header="706" w:footer="706" w:gutter="0"/>
          <w:cols w:space="720"/>
          <w:formProt w:val="0"/>
          <w:docGrid w:linePitch="360" w:charSpace="-6145"/>
        </w:sectPr>
      </w:pPr>
    </w:p>
    <w:p w14:paraId="4308CCC2" w14:textId="77777777" w:rsidR="00837C0B" w:rsidRDefault="00837C0B"/>
    <w:sectPr w:rsidR="00837C0B">
      <w:type w:val="continuous"/>
      <w:pgSz w:w="11906" w:h="16838"/>
      <w:pgMar w:top="1296" w:right="1008" w:bottom="1440" w:left="1440" w:header="706" w:footer="706" w:gutter="0"/>
      <w:cols w:space="720"/>
      <w:formProt w:val="0"/>
      <w:docGrid w:linePitch="360" w:charSpace="-6145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98F67AF" w14:textId="77777777" w:rsidR="00B537C4" w:rsidRDefault="00B537C4">
      <w:r>
        <w:separator/>
      </w:r>
    </w:p>
  </w:endnote>
  <w:endnote w:type="continuationSeparator" w:id="0">
    <w:p w14:paraId="08EF9D4E" w14:textId="77777777" w:rsidR="00B537C4" w:rsidRDefault="00B537C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Liberation Sans">
    <w:altName w:val="Arial"/>
    <w:charset w:val="01"/>
    <w:family w:val="swiss"/>
    <w:pitch w:val="variable"/>
  </w:font>
  <w:font w:name="Source Han Sans CN Regular">
    <w:panose1 w:val="00000000000000000000"/>
    <w:charset w:val="00"/>
    <w:family w:val="roman"/>
    <w:notTrueType/>
    <w:pitch w:val="default"/>
  </w:font>
  <w:font w:name="Lohit Devanagari">
    <w:panose1 w:val="00000000000000000000"/>
    <w:charset w:val="4D"/>
    <w:family w:val="roman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erif">
    <w:altName w:val="Times New Roman"/>
    <w:charset w:val="00"/>
    <w:family w:val="roman"/>
    <w:pitch w:val="variable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D391092" w14:textId="77777777" w:rsidR="00B537C4" w:rsidRDefault="00B537C4">
    <w:pPr>
      <w:pStyle w:val="Footer"/>
      <w:jc w:val="right"/>
    </w:pPr>
    <w:r>
      <w:rPr>
        <w:rFonts w:ascii="Arial" w:hAnsi="Arial" w:cs="Arial"/>
        <w:color w:val="808080"/>
        <w:sz w:val="20"/>
      </w:rPr>
      <w:t xml:space="preserve">Page </w:t>
    </w:r>
    <w:r>
      <w:rPr>
        <w:rFonts w:ascii="Arial" w:hAnsi="Arial" w:cs="Arial"/>
        <w:color w:val="808080"/>
        <w:sz w:val="20"/>
      </w:rPr>
      <w:fldChar w:fldCharType="begin"/>
    </w:r>
    <w:r>
      <w:instrText>PAGE</w:instrText>
    </w:r>
    <w:r>
      <w:fldChar w:fldCharType="separate"/>
    </w:r>
    <w:r w:rsidR="00F82597">
      <w:rPr>
        <w:noProof/>
      </w:rPr>
      <w:t>7</w:t>
    </w:r>
    <w:r>
      <w:fldChar w:fldCharType="end"/>
    </w:r>
    <w:r>
      <w:rPr>
        <w:rFonts w:ascii="Arial" w:hAnsi="Arial" w:cs="Arial"/>
        <w:color w:val="808080"/>
        <w:sz w:val="20"/>
      </w:rPr>
      <w:t xml:space="preserve"> of </w:t>
    </w:r>
    <w:r>
      <w:rPr>
        <w:rFonts w:ascii="Arial" w:hAnsi="Arial" w:cs="Arial"/>
        <w:color w:val="808080"/>
        <w:sz w:val="20"/>
      </w:rPr>
      <w:fldChar w:fldCharType="begin"/>
    </w:r>
    <w:r>
      <w:instrText>NUMPAGES</w:instrText>
    </w:r>
    <w:r>
      <w:fldChar w:fldCharType="separate"/>
    </w:r>
    <w:r w:rsidR="00F82597">
      <w:rPr>
        <w:noProof/>
      </w:rPr>
      <w:t>7</w:t>
    </w:r>
    <w: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B586955" w14:textId="77777777" w:rsidR="00B537C4" w:rsidRDefault="00B537C4">
      <w:r>
        <w:separator/>
      </w:r>
    </w:p>
  </w:footnote>
  <w:footnote w:type="continuationSeparator" w:id="0">
    <w:p w14:paraId="39811BB9" w14:textId="77777777" w:rsidR="00B537C4" w:rsidRDefault="00B537C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E46EA70" w14:textId="77777777" w:rsidR="00B537C4" w:rsidRDefault="00B537C4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>18Feb2017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DCA4CAD"/>
    <w:multiLevelType w:val="multilevel"/>
    <w:tmpl w:val="A0C05DBC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44D27ECB"/>
    <w:multiLevelType w:val="multilevel"/>
    <w:tmpl w:val="2124D82A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cs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C3389"/>
    <w:rsid w:val="00050550"/>
    <w:rsid w:val="000D39F0"/>
    <w:rsid w:val="000E36C9"/>
    <w:rsid w:val="001C7CB3"/>
    <w:rsid w:val="001D6B77"/>
    <w:rsid w:val="002271C7"/>
    <w:rsid w:val="002C14D6"/>
    <w:rsid w:val="00345FE1"/>
    <w:rsid w:val="003B710C"/>
    <w:rsid w:val="003C196D"/>
    <w:rsid w:val="00410C96"/>
    <w:rsid w:val="004274DE"/>
    <w:rsid w:val="00444457"/>
    <w:rsid w:val="00476CF7"/>
    <w:rsid w:val="004A3A87"/>
    <w:rsid w:val="004D0905"/>
    <w:rsid w:val="00505C4A"/>
    <w:rsid w:val="00583ED2"/>
    <w:rsid w:val="005D3113"/>
    <w:rsid w:val="005F32C7"/>
    <w:rsid w:val="00607D21"/>
    <w:rsid w:val="00633FE2"/>
    <w:rsid w:val="00634CD0"/>
    <w:rsid w:val="00776D9D"/>
    <w:rsid w:val="007E0252"/>
    <w:rsid w:val="00837C0B"/>
    <w:rsid w:val="008A6A2D"/>
    <w:rsid w:val="009240F5"/>
    <w:rsid w:val="009669A8"/>
    <w:rsid w:val="009E5788"/>
    <w:rsid w:val="00A375C9"/>
    <w:rsid w:val="00A41788"/>
    <w:rsid w:val="00A70BFA"/>
    <w:rsid w:val="00A80F70"/>
    <w:rsid w:val="00A84AF9"/>
    <w:rsid w:val="00B37D15"/>
    <w:rsid w:val="00B537C4"/>
    <w:rsid w:val="00BB13F5"/>
    <w:rsid w:val="00CD43A4"/>
    <w:rsid w:val="00D178D5"/>
    <w:rsid w:val="00D60638"/>
    <w:rsid w:val="00DB69E0"/>
    <w:rsid w:val="00DC3389"/>
    <w:rsid w:val="00DF4AB2"/>
    <w:rsid w:val="00EA1B7C"/>
    <w:rsid w:val="00F02A01"/>
    <w:rsid w:val="00F20A86"/>
    <w:rsid w:val="00F547F9"/>
    <w:rsid w:val="00F82597"/>
    <w:rsid w:val="00FB078A"/>
    <w:rsid w:val="00FB5B8E"/>
    <w:rsid w:val="00FC7A81"/>
    <w:rsid w:val="00FF0A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7B28B699"/>
  <w15:docId w15:val="{A4B8C5C3-4691-4578-A390-E6306082C0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color w:val="00000A"/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InternetLink">
    <w:name w:val="Internet Link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qFormat/>
    <w:rsid w:val="00236673"/>
    <w:rPr>
      <w:rFonts w:ascii="Times" w:eastAsia="Times" w:hAnsi="Times"/>
      <w:sz w:val="24"/>
      <w:lang w:val="en-US"/>
    </w:rPr>
  </w:style>
  <w:style w:type="character" w:customStyle="1" w:styleId="ListLabel1">
    <w:name w:val="ListLabel 1"/>
    <w:qFormat/>
    <w:rPr>
      <w:color w:val="0000FF"/>
      <w:sz w:val="20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ListLabel4">
    <w:name w:val="ListLabel 4"/>
    <w:qFormat/>
    <w:rPr>
      <w:rFonts w:cs="Courier New"/>
    </w:rPr>
  </w:style>
  <w:style w:type="character" w:customStyle="1" w:styleId="ListLabel5">
    <w:name w:val="ListLabel 5"/>
    <w:qFormat/>
    <w:rPr>
      <w:color w:val="0000FF"/>
      <w:sz w:val="20"/>
    </w:rPr>
  </w:style>
  <w:style w:type="character" w:customStyle="1" w:styleId="ListLabel6">
    <w:name w:val="ListLabel 6"/>
    <w:qFormat/>
    <w:rPr>
      <w:rFonts w:cs="Courier New"/>
    </w:rPr>
  </w:style>
  <w:style w:type="character" w:customStyle="1" w:styleId="ListLabel7">
    <w:name w:val="ListLabel 7"/>
    <w:qFormat/>
    <w:rPr>
      <w:rFonts w:cs="Courier New"/>
    </w:rPr>
  </w:style>
  <w:style w:type="character" w:customStyle="1" w:styleId="ListLabel8">
    <w:name w:val="ListLabel 8"/>
    <w:qFormat/>
    <w:rPr>
      <w:rFonts w:cs="Courier New"/>
    </w:rPr>
  </w:style>
  <w:style w:type="character" w:customStyle="1" w:styleId="ListLabel9">
    <w:name w:val="ListLabel 9"/>
    <w:qFormat/>
    <w:rPr>
      <w:color w:val="00000A"/>
      <w:sz w:val="20"/>
    </w:rPr>
  </w:style>
  <w:style w:type="character" w:customStyle="1" w:styleId="ListLabel10">
    <w:name w:val="ListLabel 10"/>
    <w:qFormat/>
    <w:rPr>
      <w:rFonts w:cs="Courier New"/>
    </w:rPr>
  </w:style>
  <w:style w:type="character" w:customStyle="1" w:styleId="ListLabel11">
    <w:name w:val="ListLabel 11"/>
    <w:qFormat/>
    <w:rPr>
      <w:rFonts w:cs="Courier New"/>
    </w:rPr>
  </w:style>
  <w:style w:type="character" w:customStyle="1" w:styleId="ListLabel12">
    <w:name w:val="ListLabel 12"/>
    <w:qFormat/>
    <w:rPr>
      <w:rFonts w:cs="Courier New"/>
    </w:rPr>
  </w:style>
  <w:style w:type="character" w:customStyle="1" w:styleId="ListLabel13">
    <w:name w:val="ListLabel 13"/>
    <w:qFormat/>
    <w:rPr>
      <w:color w:val="00000A"/>
      <w:sz w:val="20"/>
    </w:rPr>
  </w:style>
  <w:style w:type="character" w:customStyle="1" w:styleId="ListLabel14">
    <w:name w:val="ListLabel 14"/>
    <w:qFormat/>
    <w:rPr>
      <w:rFonts w:cs="Courier New"/>
    </w:rPr>
  </w:style>
  <w:style w:type="character" w:customStyle="1" w:styleId="ListLabel15">
    <w:name w:val="ListLabel 15"/>
    <w:qFormat/>
    <w:rPr>
      <w:color w:val="00000A"/>
      <w:sz w:val="20"/>
    </w:rPr>
  </w:style>
  <w:style w:type="character" w:customStyle="1" w:styleId="ListLabel16">
    <w:name w:val="ListLabel 16"/>
    <w:qFormat/>
    <w:rPr>
      <w:rFonts w:cs="Courier New"/>
    </w:rPr>
  </w:style>
  <w:style w:type="character" w:customStyle="1" w:styleId="ListLabel17">
    <w:name w:val="ListLabel 17"/>
    <w:qFormat/>
    <w:rPr>
      <w:rFonts w:cs="Courier New"/>
    </w:rPr>
  </w:style>
  <w:style w:type="character" w:customStyle="1" w:styleId="ListLabel18">
    <w:name w:val="ListLabel 18"/>
    <w:qFormat/>
    <w:rPr>
      <w:color w:val="00000A"/>
      <w:sz w:val="20"/>
    </w:rPr>
  </w:style>
  <w:style w:type="character" w:customStyle="1" w:styleId="ListLabel19">
    <w:name w:val="ListLabel 19"/>
    <w:qFormat/>
    <w:rPr>
      <w:rFonts w:cs="Courier New"/>
    </w:rPr>
  </w:style>
  <w:style w:type="character" w:customStyle="1" w:styleId="ListLabel20">
    <w:name w:val="ListLabel 20"/>
    <w:qFormat/>
    <w:rPr>
      <w:rFonts w:cs="Courier New"/>
    </w:rPr>
  </w:style>
  <w:style w:type="character" w:customStyle="1" w:styleId="ListLabel21">
    <w:name w:val="ListLabel 21"/>
    <w:qFormat/>
    <w:rPr>
      <w:rFonts w:cs="Courier New"/>
    </w:rPr>
  </w:style>
  <w:style w:type="character" w:customStyle="1" w:styleId="ListLabel22">
    <w:name w:val="ListLabel 22"/>
    <w:qFormat/>
    <w:rPr>
      <w:color w:val="00000A"/>
      <w:sz w:val="20"/>
    </w:rPr>
  </w:style>
  <w:style w:type="character" w:customStyle="1" w:styleId="ListLabel23">
    <w:name w:val="ListLabel 23"/>
    <w:qFormat/>
    <w:rPr>
      <w:rFonts w:cs="Courier New"/>
    </w:rPr>
  </w:style>
  <w:style w:type="character" w:customStyle="1" w:styleId="ListLabel24">
    <w:name w:val="ListLabel 24"/>
    <w:qFormat/>
    <w:rPr>
      <w:rFonts w:cs="Courier New"/>
    </w:rPr>
  </w:style>
  <w:style w:type="character" w:customStyle="1" w:styleId="ListLabel25">
    <w:name w:val="ListLabel 25"/>
    <w:qFormat/>
    <w:rPr>
      <w:rFonts w:cs="Courier New"/>
    </w:rPr>
  </w:style>
  <w:style w:type="character" w:customStyle="1" w:styleId="ListLabel26">
    <w:name w:val="ListLabel 26"/>
    <w:qFormat/>
    <w:rPr>
      <w:color w:val="00000A"/>
      <w:sz w:val="20"/>
    </w:rPr>
  </w:style>
  <w:style w:type="character" w:customStyle="1" w:styleId="ListLabel27">
    <w:name w:val="ListLabel 27"/>
    <w:qFormat/>
    <w:rPr>
      <w:rFonts w:cs="Courier New"/>
    </w:rPr>
  </w:style>
  <w:style w:type="character" w:customStyle="1" w:styleId="ListLabel28">
    <w:name w:val="ListLabel 28"/>
    <w:qFormat/>
    <w:rPr>
      <w:rFonts w:cs="Courier New"/>
    </w:rPr>
  </w:style>
  <w:style w:type="character" w:customStyle="1" w:styleId="ListLabel29">
    <w:name w:val="ListLabel 29"/>
    <w:qFormat/>
    <w:rPr>
      <w:rFonts w:cs="Courier New"/>
    </w:rPr>
  </w:style>
  <w:style w:type="character" w:customStyle="1" w:styleId="ListLabel30">
    <w:name w:val="ListLabel 30"/>
    <w:qFormat/>
    <w:rPr>
      <w:color w:val="00000A"/>
      <w:sz w:val="20"/>
    </w:rPr>
  </w:style>
  <w:style w:type="character" w:customStyle="1" w:styleId="ListLabel31">
    <w:name w:val="ListLabel 31"/>
    <w:qFormat/>
    <w:rPr>
      <w:rFonts w:cs="Courier New"/>
    </w:rPr>
  </w:style>
  <w:style w:type="character" w:customStyle="1" w:styleId="ListLabel32">
    <w:name w:val="ListLabel 32"/>
    <w:qFormat/>
    <w:rPr>
      <w:rFonts w:cs="Courier New"/>
    </w:rPr>
  </w:style>
  <w:style w:type="character" w:customStyle="1" w:styleId="ListLabel33">
    <w:name w:val="ListLabel 33"/>
    <w:qFormat/>
    <w:rPr>
      <w:rFonts w:cs="Courier New"/>
    </w:rPr>
  </w:style>
  <w:style w:type="character" w:customStyle="1" w:styleId="ListLabel34">
    <w:name w:val="ListLabel 34"/>
    <w:qFormat/>
    <w:rPr>
      <w:b/>
      <w:i w:val="0"/>
      <w:color w:val="FF0000"/>
      <w:sz w:val="22"/>
    </w:rPr>
  </w:style>
  <w:style w:type="character" w:customStyle="1" w:styleId="ListLabel35">
    <w:name w:val="ListLabel 35"/>
    <w:qFormat/>
    <w:rPr>
      <w:rFonts w:cs="Courier New"/>
    </w:rPr>
  </w:style>
  <w:style w:type="character" w:customStyle="1" w:styleId="ListLabel36">
    <w:name w:val="ListLabel 36"/>
    <w:qFormat/>
    <w:rPr>
      <w:rFonts w:cs="Courier New"/>
    </w:rPr>
  </w:style>
  <w:style w:type="character" w:customStyle="1" w:styleId="ListLabel37">
    <w:name w:val="ListLabel 37"/>
    <w:qFormat/>
    <w:rPr>
      <w:rFonts w:cs="Courier New"/>
    </w:rPr>
  </w:style>
  <w:style w:type="character" w:customStyle="1" w:styleId="ListLabel38">
    <w:name w:val="ListLabel 38"/>
    <w:qFormat/>
    <w:rPr>
      <w:color w:val="00000A"/>
      <w:sz w:val="20"/>
    </w:rPr>
  </w:style>
  <w:style w:type="character" w:customStyle="1" w:styleId="ListLabel39">
    <w:name w:val="ListLabel 39"/>
    <w:qFormat/>
    <w:rPr>
      <w:rFonts w:cs="Courier New"/>
    </w:rPr>
  </w:style>
  <w:style w:type="character" w:customStyle="1" w:styleId="ListLabel40">
    <w:name w:val="ListLabel 40"/>
    <w:qFormat/>
    <w:rPr>
      <w:color w:val="00000A"/>
      <w:sz w:val="20"/>
    </w:rPr>
  </w:style>
  <w:style w:type="character" w:customStyle="1" w:styleId="ListLabel41">
    <w:name w:val="ListLabel 41"/>
    <w:qFormat/>
    <w:rPr>
      <w:rFonts w:cs="Courier New"/>
    </w:rPr>
  </w:style>
  <w:style w:type="character" w:customStyle="1" w:styleId="ListLabel42">
    <w:name w:val="ListLabel 42"/>
    <w:qFormat/>
    <w:rPr>
      <w:rFonts w:cs="Courier New"/>
    </w:rPr>
  </w:style>
  <w:style w:type="character" w:customStyle="1" w:styleId="ListLabel43">
    <w:name w:val="ListLabel 43"/>
    <w:qFormat/>
    <w:rPr>
      <w:color w:val="0000FF"/>
      <w:sz w:val="20"/>
    </w:rPr>
  </w:style>
  <w:style w:type="character" w:customStyle="1" w:styleId="ListLabel44">
    <w:name w:val="ListLabel 44"/>
    <w:qFormat/>
    <w:rPr>
      <w:rFonts w:cs="Courier New"/>
    </w:rPr>
  </w:style>
  <w:style w:type="character" w:customStyle="1" w:styleId="ListLabel45">
    <w:name w:val="ListLabel 45"/>
    <w:qFormat/>
    <w:rPr>
      <w:color w:val="00000A"/>
      <w:sz w:val="20"/>
    </w:rPr>
  </w:style>
  <w:style w:type="character" w:customStyle="1" w:styleId="ListLabel46">
    <w:name w:val="ListLabel 46"/>
    <w:qFormat/>
    <w:rPr>
      <w:rFonts w:cs="Courier New"/>
    </w:rPr>
  </w:style>
  <w:style w:type="character" w:customStyle="1" w:styleId="ListLabel47">
    <w:name w:val="ListLabel 47"/>
    <w:qFormat/>
    <w:rPr>
      <w:rFonts w:cs="Courier New"/>
    </w:rPr>
  </w:style>
  <w:style w:type="character" w:customStyle="1" w:styleId="ListLabel48">
    <w:name w:val="ListLabel 48"/>
    <w:qFormat/>
    <w:rPr>
      <w:color w:val="00000A"/>
      <w:sz w:val="20"/>
    </w:rPr>
  </w:style>
  <w:style w:type="character" w:customStyle="1" w:styleId="ListLabel49">
    <w:name w:val="ListLabel 49"/>
    <w:qFormat/>
    <w:rPr>
      <w:rFonts w:cs="Courier New"/>
    </w:rPr>
  </w:style>
  <w:style w:type="character" w:customStyle="1" w:styleId="ListLabel50">
    <w:name w:val="ListLabel 50"/>
    <w:qFormat/>
    <w:rPr>
      <w:rFonts w:cs="Courier New"/>
    </w:rPr>
  </w:style>
  <w:style w:type="character" w:customStyle="1" w:styleId="ListLabel51">
    <w:name w:val="ListLabel 51"/>
    <w:qFormat/>
    <w:rPr>
      <w:rFonts w:cs="Courier New"/>
    </w:rPr>
  </w:style>
  <w:style w:type="character" w:customStyle="1" w:styleId="ListLabel52">
    <w:name w:val="ListLabel 52"/>
    <w:qFormat/>
    <w:rPr>
      <w:color w:val="00000A"/>
      <w:sz w:val="20"/>
    </w:rPr>
  </w:style>
  <w:style w:type="character" w:customStyle="1" w:styleId="ListLabel53">
    <w:name w:val="ListLabel 53"/>
    <w:qFormat/>
    <w:rPr>
      <w:rFonts w:cs="Courier New"/>
    </w:rPr>
  </w:style>
  <w:style w:type="character" w:customStyle="1" w:styleId="ListLabel54">
    <w:name w:val="ListLabel 54"/>
    <w:qFormat/>
    <w:rPr>
      <w:rFonts w:cs="Courier New"/>
    </w:rPr>
  </w:style>
  <w:style w:type="character" w:customStyle="1" w:styleId="ListLabel55">
    <w:name w:val="ListLabel 55"/>
    <w:qFormat/>
    <w:rPr>
      <w:rFonts w:cs="Courier New"/>
    </w:rPr>
  </w:style>
  <w:style w:type="character" w:customStyle="1" w:styleId="ListLabel56">
    <w:name w:val="ListLabel 56"/>
    <w:qFormat/>
    <w:rPr>
      <w:color w:val="00000A"/>
      <w:sz w:val="20"/>
    </w:rPr>
  </w:style>
  <w:style w:type="character" w:customStyle="1" w:styleId="ListLabel57">
    <w:name w:val="ListLabel 57"/>
    <w:qFormat/>
    <w:rPr>
      <w:rFonts w:cs="Courier New"/>
    </w:rPr>
  </w:style>
  <w:style w:type="character" w:customStyle="1" w:styleId="ListLabel58">
    <w:name w:val="ListLabel 58"/>
    <w:qFormat/>
    <w:rPr>
      <w:rFonts w:cs="Courier New"/>
    </w:rPr>
  </w:style>
  <w:style w:type="character" w:customStyle="1" w:styleId="ListLabel59">
    <w:name w:val="ListLabel 59"/>
    <w:qFormat/>
    <w:rPr>
      <w:rFonts w:cs="Courier New"/>
    </w:rPr>
  </w:style>
  <w:style w:type="character" w:customStyle="1" w:styleId="ListLabel60">
    <w:name w:val="ListLabel 60"/>
    <w:qFormat/>
    <w:rPr>
      <w:color w:val="00000A"/>
      <w:sz w:val="20"/>
    </w:rPr>
  </w:style>
  <w:style w:type="character" w:customStyle="1" w:styleId="ListLabel61">
    <w:name w:val="ListLabel 61"/>
    <w:qFormat/>
    <w:rPr>
      <w:rFonts w:cs="Courier New"/>
    </w:rPr>
  </w:style>
  <w:style w:type="character" w:customStyle="1" w:styleId="ListLabel62">
    <w:name w:val="ListLabel 62"/>
    <w:qFormat/>
    <w:rPr>
      <w:rFonts w:cs="Courier New"/>
    </w:rPr>
  </w:style>
  <w:style w:type="character" w:customStyle="1" w:styleId="ListLabel63">
    <w:name w:val="ListLabel 63"/>
    <w:qFormat/>
    <w:rPr>
      <w:rFonts w:cs="Courier New"/>
    </w:rPr>
  </w:style>
  <w:style w:type="character" w:customStyle="1" w:styleId="ListLabel64">
    <w:name w:val="ListLabel 64"/>
    <w:qFormat/>
    <w:rPr>
      <w:color w:val="0000FF"/>
      <w:sz w:val="20"/>
    </w:rPr>
  </w:style>
  <w:style w:type="character" w:customStyle="1" w:styleId="ListLabel65">
    <w:name w:val="ListLabel 65"/>
    <w:qFormat/>
    <w:rPr>
      <w:rFonts w:cs="Courier New"/>
    </w:rPr>
  </w:style>
  <w:style w:type="character" w:customStyle="1" w:styleId="ListLabel66">
    <w:name w:val="ListLabel 66"/>
    <w:qFormat/>
    <w:rPr>
      <w:rFonts w:cs="Courier New"/>
    </w:rPr>
  </w:style>
  <w:style w:type="character" w:customStyle="1" w:styleId="ListLabel67">
    <w:name w:val="ListLabel 67"/>
    <w:qFormat/>
    <w:rPr>
      <w:rFonts w:cs="Courier New"/>
    </w:rPr>
  </w:style>
  <w:style w:type="character" w:customStyle="1" w:styleId="ListLabel68">
    <w:name w:val="ListLabel 68"/>
    <w:qFormat/>
    <w:rPr>
      <w:rFonts w:cs="Courier New"/>
    </w:rPr>
  </w:style>
  <w:style w:type="character" w:customStyle="1" w:styleId="ListLabel69">
    <w:name w:val="ListLabel 69"/>
    <w:qFormat/>
    <w:rPr>
      <w:rFonts w:cs="Courier New"/>
    </w:rPr>
  </w:style>
  <w:style w:type="character" w:customStyle="1" w:styleId="ListLabel70">
    <w:name w:val="ListLabel 70"/>
    <w:qFormat/>
    <w:rPr>
      <w:rFonts w:cs="Courier New"/>
    </w:rPr>
  </w:style>
  <w:style w:type="character" w:customStyle="1" w:styleId="ListLabel71">
    <w:name w:val="ListLabel 71"/>
    <w:qFormat/>
    <w:rPr>
      <w:rFonts w:ascii="Arial" w:hAnsi="Arial" w:cs="Courier New"/>
      <w:sz w:val="20"/>
    </w:rPr>
  </w:style>
  <w:style w:type="character" w:customStyle="1" w:styleId="ListLabel72">
    <w:name w:val="ListLabel 72"/>
    <w:qFormat/>
    <w:rPr>
      <w:rFonts w:cs="Courier New"/>
    </w:rPr>
  </w:style>
  <w:style w:type="character" w:customStyle="1" w:styleId="ListLabel73">
    <w:name w:val="ListLabel 73"/>
    <w:qFormat/>
    <w:rPr>
      <w:rFonts w:cs="Courier New"/>
    </w:rPr>
  </w:style>
  <w:style w:type="character" w:customStyle="1" w:styleId="VisitedInternetLink">
    <w:name w:val="Visited Internet Link"/>
    <w:rPr>
      <w:color w:val="800000"/>
      <w:u w:val="single"/>
      <w:lang w:val="uz-Cyrl-UZ" w:eastAsia="uz-Cyrl-UZ" w:bidi="uz-Cyrl-UZ"/>
    </w:rPr>
  </w:style>
  <w:style w:type="character" w:customStyle="1" w:styleId="ListLabel74">
    <w:name w:val="ListLabel 74"/>
    <w:qFormat/>
    <w:rPr>
      <w:rFonts w:ascii="Arial" w:hAnsi="Arial" w:cs="Symbol"/>
      <w:sz w:val="20"/>
    </w:rPr>
  </w:style>
  <w:style w:type="character" w:customStyle="1" w:styleId="ListLabel75">
    <w:name w:val="ListLabel 75"/>
    <w:qFormat/>
    <w:rPr>
      <w:rFonts w:ascii="Arial" w:hAnsi="Arial" w:cs="Courier New"/>
      <w:sz w:val="20"/>
    </w:rPr>
  </w:style>
  <w:style w:type="character" w:customStyle="1" w:styleId="ListLabel76">
    <w:name w:val="ListLabel 76"/>
    <w:qFormat/>
    <w:rPr>
      <w:rFonts w:cs="Wingdings"/>
    </w:rPr>
  </w:style>
  <w:style w:type="character" w:customStyle="1" w:styleId="ListLabel77">
    <w:name w:val="ListLabel 77"/>
    <w:qFormat/>
    <w:rPr>
      <w:rFonts w:cs="Symbol"/>
    </w:rPr>
  </w:style>
  <w:style w:type="character" w:customStyle="1" w:styleId="ListLabel78">
    <w:name w:val="ListLabel 78"/>
    <w:qFormat/>
    <w:rPr>
      <w:rFonts w:cs="Courier New"/>
    </w:rPr>
  </w:style>
  <w:style w:type="character" w:customStyle="1" w:styleId="ListLabel79">
    <w:name w:val="ListLabel 79"/>
    <w:qFormat/>
    <w:rPr>
      <w:rFonts w:cs="Wingdings"/>
    </w:rPr>
  </w:style>
  <w:style w:type="character" w:customStyle="1" w:styleId="ListLabel80">
    <w:name w:val="ListLabel 80"/>
    <w:qFormat/>
    <w:rPr>
      <w:rFonts w:cs="Symbol"/>
    </w:rPr>
  </w:style>
  <w:style w:type="character" w:customStyle="1" w:styleId="ListLabel81">
    <w:name w:val="ListLabel 81"/>
    <w:qFormat/>
    <w:rPr>
      <w:rFonts w:cs="Courier New"/>
    </w:rPr>
  </w:style>
  <w:style w:type="character" w:customStyle="1" w:styleId="ListLabel82">
    <w:name w:val="ListLabel 82"/>
    <w:qFormat/>
    <w:rPr>
      <w:rFonts w:cs="Wingdings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Source Han Sans CN Regular" w:hAnsi="Liberation Sans" w:cs="Lohit Devanagari"/>
      <w:sz w:val="28"/>
      <w:szCs w:val="28"/>
    </w:rPr>
  </w:style>
  <w:style w:type="paragraph" w:styleId="BodyText">
    <w:name w:val="Body Text"/>
    <w:basedOn w:val="Normal"/>
    <w:pPr>
      <w:spacing w:after="140" w:line="288" w:lineRule="auto"/>
    </w:pPr>
  </w:style>
  <w:style w:type="paragraph" w:styleId="List">
    <w:name w:val="List"/>
    <w:basedOn w:val="BodyText"/>
    <w:rPr>
      <w:rFonts w:cs="Lohit Devanagari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Lohit Devanagari"/>
      <w:i/>
      <w:iCs/>
    </w:rPr>
  </w:style>
  <w:style w:type="paragraph" w:customStyle="1" w:styleId="Index">
    <w:name w:val="Index"/>
    <w:basedOn w:val="Normal"/>
    <w:qFormat/>
    <w:pPr>
      <w:suppressLineNumbers/>
    </w:pPr>
    <w:rPr>
      <w:rFonts w:cs="Lohit Devanagari"/>
    </w:rPr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qFormat/>
    <w:rsid w:val="00210B49"/>
    <w:rPr>
      <w:rFonts w:ascii="Tahoma" w:hAnsi="Tahoma"/>
      <w:sz w:val="16"/>
      <w:szCs w:val="16"/>
    </w:rPr>
  </w:style>
  <w:style w:type="paragraph" w:customStyle="1" w:styleId="TableContents">
    <w:name w:val="Table Contents"/>
    <w:basedOn w:val="Normal"/>
    <w:qFormat/>
    <w:pPr>
      <w:suppressLineNumbers/>
    </w:pPr>
  </w:style>
  <w:style w:type="character" w:styleId="CommentReference">
    <w:name w:val="annotation reference"/>
    <w:basedOn w:val="DefaultParagraphFont"/>
    <w:uiPriority w:val="99"/>
    <w:semiHidden/>
    <w:unhideWhenUsed/>
    <w:rsid w:val="002C14D6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C14D6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C14D6"/>
    <w:rPr>
      <w:color w:val="00000A"/>
      <w:sz w:val="24"/>
      <w:szCs w:val="24"/>
      <w:lang w:val="en-US"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C14D6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C14D6"/>
    <w:rPr>
      <w:b/>
      <w:bCs/>
      <w:color w:val="00000A"/>
      <w:sz w:val="24"/>
      <w:szCs w:val="24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aef24@cam.ac.uk" TargetMode="External"/><Relationship Id="rId13" Type="http://schemas.openxmlformats.org/officeDocument/2006/relationships/image" Target="media/image3.jp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2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http://www.ictvonline.org/subcommittees.asp" TargetMode="External"/><Relationship Id="rId14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7</Pages>
  <Words>1744</Words>
  <Characters>9941</Characters>
  <Application>Microsoft Office Word</Application>
  <DocSecurity>0</DocSecurity>
  <Lines>82</Lines>
  <Paragraphs>23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11662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dc:description/>
  <cp:lastModifiedBy>Nick Knowles</cp:lastModifiedBy>
  <cp:revision>4</cp:revision>
  <cp:lastPrinted>2017-06-29T11:55:00Z</cp:lastPrinted>
  <dcterms:created xsi:type="dcterms:W3CDTF">2017-11-22T22:04:00Z</dcterms:created>
  <dcterms:modified xsi:type="dcterms:W3CDTF">2017-11-24T18:14:00Z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15.0000</vt:lpwstr>
  </property>
  <property fmtid="{D5CDD505-2E9C-101B-9397-08002B2CF9AE}" pid="3" name="Company">
    <vt:lpwstr>home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  <property fmtid="{D5CDD505-2E9C-101B-9397-08002B2CF9AE}" pid="9" name="_NewReviewCycle">
    <vt:lpwstr/>
  </property>
</Properties>
</file>