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8263AF" w14:textId="77777777" w:rsidR="002D643A" w:rsidRDefault="00C60351">
      <w:r>
        <w:rPr>
          <w:noProof/>
        </w:rPr>
        <w:drawing>
          <wp:anchor distT="0" distB="0" distL="114300" distR="114300" simplePos="0" relativeHeight="2" behindDoc="0" locked="0" layoutInCell="1" allowOverlap="1" wp14:anchorId="2F9B1E30" wp14:editId="6CE1DFF7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36FE21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63BFEB63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54B62608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6ADDDE6A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5CAA7CB8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137F948F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p w14:paraId="2072F324" w14:textId="77777777" w:rsidR="002D643A" w:rsidRDefault="00C60351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74E6609A" w14:textId="77777777" w:rsidR="002D643A" w:rsidRDefault="002D643A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Borders>
          <w:top w:val="double" w:sz="4" w:space="0" w:color="000000"/>
          <w:left w:val="double" w:sz="4" w:space="0" w:color="000000"/>
          <w:right w:val="single" w:sz="4" w:space="0" w:color="000000"/>
          <w:insideV w:val="single" w:sz="4" w:space="0" w:color="000000"/>
        </w:tblBorders>
        <w:tblCellMar>
          <w:left w:w="93" w:type="dxa"/>
        </w:tblCellMar>
        <w:tblLook w:val="04A0" w:firstRow="1" w:lastRow="0" w:firstColumn="1" w:lastColumn="0" w:noHBand="0" w:noVBand="1"/>
      </w:tblPr>
      <w:tblGrid>
        <w:gridCol w:w="3548"/>
        <w:gridCol w:w="4810"/>
        <w:gridCol w:w="714"/>
      </w:tblGrid>
      <w:tr w:rsidR="002D643A" w14:paraId="26663ACC" w14:textId="77777777">
        <w:tc>
          <w:tcPr>
            <w:tcW w:w="3548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14DA72" w14:textId="77777777" w:rsidR="002D643A" w:rsidRDefault="00C60351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10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0D33D6" w14:textId="3A43618F" w:rsidR="002D643A" w:rsidRDefault="00B60451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B60451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2020.135B</w:t>
            </w:r>
          </w:p>
        </w:tc>
        <w:tc>
          <w:tcPr>
            <w:tcW w:w="714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318A6C37" w14:textId="77777777" w:rsidR="002D643A" w:rsidRDefault="002D643A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2D643A" w14:paraId="4BDE3F46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3AEA5C28" w14:textId="3055BBDB" w:rsidR="002D643A" w:rsidRDefault="00C60351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</w:rPr>
              <w:t xml:space="preserve">Short title: 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>Create one new genus (</w:t>
            </w:r>
            <w:r w:rsidRPr="00B6045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Rockefellervirus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 xml:space="preserve">) </w:t>
            </w:r>
            <w:r w:rsidR="00B60451">
              <w:rPr>
                <w:rFonts w:ascii="Arial" w:hAnsi="Arial" w:cs="Arial"/>
                <w:bCs/>
                <w:sz w:val="22"/>
                <w:szCs w:val="22"/>
              </w:rPr>
              <w:t xml:space="preserve">including 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 xml:space="preserve">six species </w:t>
            </w:r>
            <w:r w:rsidR="00B60451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B60451" w:rsidRPr="00B6045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B6045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Pr="00B6045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B60451" w:rsidRPr="00B60451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2D643A" w14:paraId="12FF3DE7" w14:textId="77777777">
        <w:trPr>
          <w:trHeight w:val="245"/>
        </w:trPr>
        <w:tc>
          <w:tcPr>
            <w:tcW w:w="9072" w:type="dxa"/>
            <w:gridSpan w:val="3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282E4AFB" w14:textId="77777777" w:rsidR="002D643A" w:rsidRDefault="002D643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64F67BAA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2D643A" w14:paraId="4AA0F83F" w14:textId="77777777">
        <w:tc>
          <w:tcPr>
            <w:tcW w:w="4368" w:type="dxa"/>
            <w:shd w:val="clear" w:color="auto" w:fill="auto"/>
          </w:tcPr>
          <w:p w14:paraId="209B2B6E" w14:textId="2947F86A" w:rsidR="002D643A" w:rsidRPr="00B60451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B60451" w:rsidRPr="00B604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60451">
              <w:rPr>
                <w:rFonts w:ascii="Arial" w:hAnsi="Arial" w:cs="Arial"/>
                <w:sz w:val="22"/>
                <w:szCs w:val="22"/>
              </w:rPr>
              <w:t>Tolstoy I,</w:t>
            </w:r>
            <w:r w:rsidR="00B60451" w:rsidRPr="00B604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60451">
              <w:rPr>
                <w:rFonts w:ascii="Arial" w:hAnsi="Arial" w:cs="Arial"/>
                <w:sz w:val="22"/>
                <w:szCs w:val="22"/>
              </w:rPr>
              <w:t>Kropinski AM,</w:t>
            </w:r>
            <w:r w:rsidR="00B60451" w:rsidRPr="00B604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60451">
              <w:rPr>
                <w:rFonts w:ascii="Arial" w:hAnsi="Arial" w:cs="Arial"/>
                <w:sz w:val="22"/>
                <w:szCs w:val="22"/>
              </w:rPr>
              <w:t>Łobocka M</w:t>
            </w:r>
          </w:p>
        </w:tc>
        <w:tc>
          <w:tcPr>
            <w:tcW w:w="4703" w:type="dxa"/>
            <w:shd w:val="clear" w:color="auto" w:fill="auto"/>
          </w:tcPr>
          <w:p w14:paraId="7BDDE1EA" w14:textId="77777777" w:rsidR="002D643A" w:rsidRPr="00B60451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0A30CEBD" w14:textId="77777777" w:rsidR="002D643A" w:rsidRPr="00B60451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B60451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0D77DE89" w14:textId="77777777" w:rsidR="002D643A" w:rsidRPr="00B60451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hAnsi="Arial" w:cs="Arial"/>
                <w:sz w:val="22"/>
                <w:szCs w:val="22"/>
              </w:rPr>
              <w:t>Phage.Canada@gmail.com;</w:t>
            </w:r>
            <w:r w:rsidRPr="00B60451">
              <w:rPr>
                <w:rFonts w:ascii="Arial" w:hAnsi="Arial" w:cs="Arial"/>
                <w:sz w:val="22"/>
                <w:szCs w:val="22"/>
              </w:rPr>
              <w:br/>
              <w:t>lobocka@ibb.waw.pl</w:t>
            </w:r>
          </w:p>
        </w:tc>
      </w:tr>
    </w:tbl>
    <w:p w14:paraId="1C6077DC" w14:textId="77777777" w:rsidR="002D643A" w:rsidRDefault="00C60351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3BE2E6C6" w14:textId="77777777" w:rsidR="002D643A" w:rsidRDefault="002D643A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0029A6D2" w14:textId="77777777">
        <w:tc>
          <w:tcPr>
            <w:tcW w:w="9072" w:type="dxa"/>
            <w:shd w:val="clear" w:color="auto" w:fill="auto"/>
          </w:tcPr>
          <w:p w14:paraId="0ABC0815" w14:textId="77777777" w:rsidR="002D643A" w:rsidRDefault="00C603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 Bioscience, UK [EMA]</w:t>
            </w:r>
          </w:p>
          <w:p w14:paraId="6A8ED269" w14:textId="77777777" w:rsidR="002D643A" w:rsidRDefault="00C603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042AFC9C" w14:textId="77777777" w:rsidR="002D643A" w:rsidRDefault="00C60351"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  <w:r>
              <w:rPr>
                <w:rFonts w:ascii="Arial" w:hAnsi="Arial" w:cs="Arial"/>
                <w:sz w:val="22"/>
                <w:szCs w:val="22"/>
              </w:rPr>
              <w:br/>
              <w:t>Institute of Biochemistry and Biophysics of the Polish Academy of Sciences, Poland [MŁ]</w:t>
            </w:r>
          </w:p>
        </w:tc>
      </w:tr>
    </w:tbl>
    <w:p w14:paraId="58F177F7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48F4FCC6" w14:textId="77777777">
        <w:tc>
          <w:tcPr>
            <w:tcW w:w="9072" w:type="dxa"/>
            <w:shd w:val="clear" w:color="auto" w:fill="auto"/>
          </w:tcPr>
          <w:p w14:paraId="429428FB" w14:textId="77777777" w:rsidR="002D643A" w:rsidRDefault="00C603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Malgorzata Łobocka</w:t>
            </w:r>
          </w:p>
        </w:tc>
      </w:tr>
    </w:tbl>
    <w:p w14:paraId="79921EBA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75B1CDDD" w14:textId="77777777" w:rsidR="002D643A" w:rsidRDefault="002D643A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27D89685" w14:textId="77777777">
        <w:tc>
          <w:tcPr>
            <w:tcW w:w="9072" w:type="dxa"/>
            <w:shd w:val="clear" w:color="auto" w:fill="auto"/>
          </w:tcPr>
          <w:p w14:paraId="26370571" w14:textId="4911CE0D" w:rsidR="002D643A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3B133752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6B3E17CF" w14:textId="77777777" w:rsidR="002D643A" w:rsidRDefault="002D643A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04D02A85" w14:textId="77777777">
        <w:tc>
          <w:tcPr>
            <w:tcW w:w="9072" w:type="dxa"/>
            <w:shd w:val="clear" w:color="auto" w:fill="auto"/>
          </w:tcPr>
          <w:p w14:paraId="482443EE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324ED24F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14E6FA2B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7C17F273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3DBD13C6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19AC5F49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FBF03B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p w14:paraId="1C3BDEF4" w14:textId="77777777" w:rsidR="002D643A" w:rsidRDefault="002D643A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88"/>
        <w:gridCol w:w="3402"/>
        <w:gridCol w:w="2982"/>
      </w:tblGrid>
      <w:tr w:rsidR="002D643A" w14:paraId="53204E68" w14:textId="77777777">
        <w:tc>
          <w:tcPr>
            <w:tcW w:w="2688" w:type="dxa"/>
            <w:shd w:val="clear" w:color="auto" w:fill="auto"/>
          </w:tcPr>
          <w:p w14:paraId="3FE4F01C" w14:textId="77777777" w:rsidR="002D643A" w:rsidRDefault="00C60351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  <w:shd w:val="clear" w:color="auto" w:fill="auto"/>
          </w:tcPr>
          <w:p w14:paraId="4CDC4839" w14:textId="77777777" w:rsidR="002D643A" w:rsidRDefault="00C60351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82" w:type="dxa"/>
            <w:shd w:val="clear" w:color="auto" w:fill="auto"/>
          </w:tcPr>
          <w:p w14:paraId="39CB9BAF" w14:textId="77777777" w:rsidR="002D643A" w:rsidRDefault="00C60351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2D643A" w14:paraId="0DDCADCB" w14:textId="77777777">
        <w:tc>
          <w:tcPr>
            <w:tcW w:w="2688" w:type="dxa"/>
            <w:shd w:val="clear" w:color="auto" w:fill="auto"/>
          </w:tcPr>
          <w:p w14:paraId="196CD0B6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  <w:shd w:val="clear" w:color="auto" w:fill="auto"/>
          </w:tcPr>
          <w:p w14:paraId="7E8FA34A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2" w:type="dxa"/>
            <w:shd w:val="clear" w:color="auto" w:fill="auto"/>
          </w:tcPr>
          <w:p w14:paraId="67785188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D643A" w14:paraId="33094470" w14:textId="77777777">
        <w:tc>
          <w:tcPr>
            <w:tcW w:w="2688" w:type="dxa"/>
            <w:shd w:val="clear" w:color="auto" w:fill="auto"/>
          </w:tcPr>
          <w:p w14:paraId="660400FD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  <w:shd w:val="clear" w:color="auto" w:fill="auto"/>
          </w:tcPr>
          <w:p w14:paraId="42A6C53F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2" w:type="dxa"/>
            <w:shd w:val="clear" w:color="auto" w:fill="auto"/>
          </w:tcPr>
          <w:p w14:paraId="12E9EBD7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D643A" w14:paraId="7D87293B" w14:textId="77777777">
        <w:tc>
          <w:tcPr>
            <w:tcW w:w="2688" w:type="dxa"/>
            <w:shd w:val="clear" w:color="auto" w:fill="auto"/>
          </w:tcPr>
          <w:p w14:paraId="05935269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  <w:shd w:val="clear" w:color="auto" w:fill="auto"/>
          </w:tcPr>
          <w:p w14:paraId="7FCD31D3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2" w:type="dxa"/>
            <w:shd w:val="clear" w:color="auto" w:fill="auto"/>
          </w:tcPr>
          <w:p w14:paraId="7DFD67E1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545BE6F" w14:textId="77777777" w:rsidR="002D643A" w:rsidRDefault="002D643A"/>
    <w:p w14:paraId="5AE63CF0" w14:textId="77777777" w:rsidR="00B60451" w:rsidRDefault="00B60451">
      <w:pPr>
        <w:rPr>
          <w:rFonts w:ascii="Arial" w:hAnsi="Arial" w:cs="Arial"/>
          <w:b/>
          <w:bCs/>
        </w:rPr>
      </w:pPr>
    </w:p>
    <w:p w14:paraId="1FA787DC" w14:textId="4DBC984E" w:rsidR="002D643A" w:rsidRDefault="00C60351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Submission dates</w:t>
      </w:r>
    </w:p>
    <w:p w14:paraId="572BCF5C" w14:textId="77777777" w:rsidR="00B60451" w:rsidRDefault="00B60451">
      <w:pPr>
        <w:rPr>
          <w:rFonts w:ascii="Arial" w:hAnsi="Arial" w:cs="Arial"/>
          <w:b/>
          <w:bCs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2D643A" w14:paraId="0D6965E9" w14:textId="77777777">
        <w:tc>
          <w:tcPr>
            <w:tcW w:w="4819" w:type="dxa"/>
            <w:shd w:val="clear" w:color="auto" w:fill="auto"/>
          </w:tcPr>
          <w:p w14:paraId="7913CD19" w14:textId="77777777" w:rsidR="002D643A" w:rsidRDefault="00C60351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07B0318B" w14:textId="77777777" w:rsidR="002D643A" w:rsidRPr="00B60451" w:rsidRDefault="00C60351">
            <w:pPr>
              <w:rPr>
                <w:rFonts w:ascii="Arial" w:hAnsi="Arial" w:cs="Arial"/>
                <w:sz w:val="22"/>
                <w:szCs w:val="22"/>
              </w:rPr>
            </w:pPr>
            <w:r w:rsidRPr="00B60451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2D643A" w14:paraId="02383A4B" w14:textId="77777777">
        <w:tc>
          <w:tcPr>
            <w:tcW w:w="4819" w:type="dxa"/>
            <w:shd w:val="clear" w:color="auto" w:fill="auto"/>
          </w:tcPr>
          <w:p w14:paraId="1F7748E7" w14:textId="77777777" w:rsidR="002D643A" w:rsidRDefault="00C60351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3E3494AB" w14:textId="77777777" w:rsidR="002D643A" w:rsidRDefault="002D643A">
            <w:pPr>
              <w:rPr>
                <w:sz w:val="22"/>
                <w:szCs w:val="22"/>
              </w:rPr>
            </w:pPr>
          </w:p>
        </w:tc>
      </w:tr>
    </w:tbl>
    <w:p w14:paraId="4220FE60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04606D4C" w14:textId="77777777">
        <w:tc>
          <w:tcPr>
            <w:tcW w:w="9072" w:type="dxa"/>
            <w:shd w:val="clear" w:color="auto" w:fill="auto"/>
          </w:tcPr>
          <w:p w14:paraId="06CB8C63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49D55E79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19961DC1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2F0027C4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025BF3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598E59A2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45118C52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4D40F1EA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  <w:p w14:paraId="4F8D8CD3" w14:textId="77777777" w:rsidR="002D643A" w:rsidRDefault="002D643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24DACA4" w14:textId="77777777" w:rsidR="002D643A" w:rsidRDefault="002D643A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8E4D39C" w14:textId="77777777" w:rsidR="002D643A" w:rsidRDefault="00C60351">
      <w:pPr>
        <w:pStyle w:val="BodyTextIndent"/>
        <w:spacing w:before="120" w:after="120"/>
        <w:ind w:left="0" w:firstLine="0"/>
      </w:pPr>
      <w:r>
        <w:rPr>
          <w:rFonts w:ascii="Arial" w:hAnsi="Arial" w:cs="Arial"/>
          <w:b/>
          <w:color w:val="000000"/>
          <w:szCs w:val="24"/>
        </w:rPr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7D97052D" w14:textId="77777777" w:rsidR="002D643A" w:rsidRDefault="00C603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33E5B00F" w14:textId="77777777">
        <w:tc>
          <w:tcPr>
            <w:tcW w:w="9072" w:type="dxa"/>
            <w:shd w:val="clear" w:color="auto" w:fill="auto"/>
          </w:tcPr>
          <w:p w14:paraId="25AE89B5" w14:textId="5B4C41E2" w:rsidR="002D643A" w:rsidRPr="00B60451" w:rsidRDefault="00B60451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B60451">
              <w:rPr>
                <w:rFonts w:ascii="Arial" w:hAnsi="Arial" w:cs="Arial"/>
                <w:bCs/>
                <w:sz w:val="22"/>
                <w:szCs w:val="22"/>
              </w:rPr>
              <w:t>2020.135B.</w:t>
            </w:r>
            <w:r w:rsidR="00F34C3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C60351" w:rsidRPr="00B60451">
              <w:rPr>
                <w:rFonts w:ascii="Arial" w:hAnsi="Arial" w:cs="Arial"/>
                <w:bCs/>
                <w:sz w:val="22"/>
                <w:szCs w:val="22"/>
              </w:rPr>
              <w:t>Rockefellervirus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0D9FF7FC" w14:textId="77777777" w:rsidR="002D643A" w:rsidRDefault="00C60351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CF92B6E" w14:textId="77777777" w:rsidR="002D643A" w:rsidRDefault="002D643A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D643A" w14:paraId="475C8720" w14:textId="77777777">
        <w:tc>
          <w:tcPr>
            <w:tcW w:w="9072" w:type="dxa"/>
            <w:shd w:val="clear" w:color="auto" w:fill="auto"/>
          </w:tcPr>
          <w:p w14:paraId="0E03ED3C" w14:textId="77777777" w:rsidR="002D643A" w:rsidRPr="00B60451" w:rsidRDefault="00C60351">
            <w:pPr>
              <w:rPr>
                <w:bCs/>
              </w:rPr>
            </w:pPr>
            <w:r w:rsidRPr="00B60451">
              <w:rPr>
                <w:rFonts w:ascii="Arial" w:hAnsi="Arial" w:cs="Arial"/>
                <w:bCs/>
                <w:sz w:val="22"/>
                <w:szCs w:val="22"/>
              </w:rPr>
              <w:t xml:space="preserve">Here, we propose the creation of new genus </w:t>
            </w:r>
            <w:r w:rsidRPr="00B6045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Rockefellervirus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 xml:space="preserve"> comprising six species of siphoviruses which infect </w:t>
            </w:r>
            <w:r w:rsidRPr="00B6045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Staphylococcus epidermidis</w:t>
            </w:r>
            <w:r w:rsidRPr="00B60451">
              <w:rPr>
                <w:rFonts w:ascii="Arial" w:hAnsi="Arial" w:cs="Arial"/>
                <w:bCs/>
                <w:sz w:val="22"/>
                <w:szCs w:val="22"/>
              </w:rPr>
              <w:t xml:space="preserve">. </w:t>
            </w:r>
          </w:p>
          <w:p w14:paraId="66D653DF" w14:textId="77777777" w:rsidR="002D643A" w:rsidRDefault="002D643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43B8ACCB" w14:textId="77777777" w:rsidR="002D643A" w:rsidRDefault="00C60351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D643A" w14:paraId="72AD2B2B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1EC9BD3E" w14:textId="77777777" w:rsidR="002D643A" w:rsidRPr="00B60451" w:rsidRDefault="002D643A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tbl>
            <w:tblPr>
              <w:tblStyle w:val="TableGrid"/>
              <w:tblW w:w="9002" w:type="dxa"/>
              <w:tblCellMar>
                <w:left w:w="73" w:type="dxa"/>
              </w:tblCellMar>
              <w:tblLook w:val="04A0" w:firstRow="1" w:lastRow="0" w:firstColumn="1" w:lastColumn="0" w:noHBand="0" w:noVBand="1"/>
            </w:tblPr>
            <w:tblGrid>
              <w:gridCol w:w="9002"/>
            </w:tblGrid>
            <w:tr w:rsidR="002D643A" w:rsidRPr="00B60451" w14:paraId="4B172C4C" w14:textId="77777777">
              <w:tc>
                <w:tcPr>
                  <w:tcW w:w="9002" w:type="dxa"/>
                  <w:shd w:val="clear" w:color="auto" w:fill="auto"/>
                </w:tcPr>
                <w:p w14:paraId="571F4BFD" w14:textId="51E8CAA1" w:rsidR="002D643A" w:rsidRPr="00B60451" w:rsidRDefault="00C6035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B6045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B60451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B6045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B6045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66B307C4" w14:textId="77777777" w:rsidR="002D643A" w:rsidRPr="00B60451" w:rsidRDefault="002D643A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D3DE8C1" w14:textId="77777777" w:rsidR="002D643A" w:rsidRPr="00B60451" w:rsidRDefault="002D643A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530B46EF" w14:textId="77777777" w:rsidR="002D643A" w:rsidRDefault="002D643A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B866668" w14:textId="77777777" w:rsidR="00B60451" w:rsidRDefault="00B604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9B8976B" w14:textId="4E137C1F" w:rsidR="002D643A" w:rsidRPr="00B60451" w:rsidRDefault="00C60351" w:rsidP="00B604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4995C8F3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Pr="00B60451">
        <w:rPr>
          <w:rFonts w:ascii="Arial" w:hAnsi="Arial" w:cs="Arial"/>
          <w:sz w:val="22"/>
          <w:szCs w:val="22"/>
          <w:lang w:val="en-GB"/>
        </w:rPr>
        <w:t>This genus is named after the name of the Rockefeller University, where the first phages of this genus were isolated and described.</w:t>
      </w:r>
    </w:p>
    <w:p w14:paraId="124AED65" w14:textId="77777777" w:rsidR="002D643A" w:rsidRPr="00B60451" w:rsidRDefault="002D643A">
      <w:pPr>
        <w:rPr>
          <w:rFonts w:ascii="Arial" w:hAnsi="Arial" w:cs="Arial"/>
          <w:sz w:val="22"/>
          <w:szCs w:val="22"/>
          <w:lang w:val="en-GB"/>
        </w:rPr>
      </w:pPr>
    </w:p>
    <w:p w14:paraId="5F81EA5F" w14:textId="77777777" w:rsidR="002D643A" w:rsidRPr="00B60451" w:rsidRDefault="00C60351">
      <w:pPr>
        <w:rPr>
          <w:rFonts w:ascii="Arial" w:hAnsi="Arial" w:cs="Arial"/>
          <w:sz w:val="22"/>
          <w:szCs w:val="22"/>
          <w:lang w:val="en-GB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All these phages were isolated with the use of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Staphylococcus epidermidis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 as a host, and two of them PH15 and CNPH82 were the first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S. epidermidis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 phages of sequenced genomes. They were clustered by Oliveira et al. (2019) [1] in the subcluster B(4) of staphylococcal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 xml:space="preserve">Siphoviridae 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with three less related phages that infect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Staphylococcus aureus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 or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Staphylococcus haemolyticus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. They are temperate and produce stable lysogens. Genomes of some but not all of them contain introns. </w:t>
      </w:r>
    </w:p>
    <w:p w14:paraId="16091E93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sz w:val="22"/>
          <w:szCs w:val="22"/>
          <w:lang w:val="en-GB"/>
        </w:rPr>
        <w:t xml:space="preserve">Four of the species were previously assigned to the genus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Phietavirus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 which is broken up due to large genomic differences of the members phages. </w:t>
      </w:r>
    </w:p>
    <w:p w14:paraId="76E69BA1" w14:textId="77777777" w:rsidR="002D643A" w:rsidRPr="00B60451" w:rsidRDefault="002D643A">
      <w:pPr>
        <w:rPr>
          <w:rFonts w:ascii="Arial" w:hAnsi="Arial" w:cs="Arial"/>
          <w:bCs/>
          <w:sz w:val="22"/>
          <w:szCs w:val="22"/>
          <w:lang w:val="en-GB"/>
        </w:rPr>
      </w:pPr>
    </w:p>
    <w:p w14:paraId="07ED7277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 xml:space="preserve">Specific References:  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Daniel A, Bonnen PE, Fischetti VA. First complete genome sequence of two </w:t>
      </w:r>
      <w:r w:rsidRPr="00B60451">
        <w:rPr>
          <w:rFonts w:ascii="Arial" w:hAnsi="Arial" w:cs="Arial"/>
          <w:bCs/>
          <w:i/>
          <w:iCs/>
          <w:sz w:val="22"/>
          <w:szCs w:val="22"/>
          <w:lang w:val="en-GB"/>
        </w:rPr>
        <w:t>Staphylococcus epidermidis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 bacteriophages. J Bacteriol. 2007;189(5):2086</w:t>
      </w:r>
      <w:r w:rsidRPr="00B60451">
        <w:rPr>
          <w:rFonts w:ascii="Cambria Math" w:hAnsi="Cambria Math" w:cs="Cambria Math"/>
          <w:bCs/>
          <w:sz w:val="22"/>
          <w:szCs w:val="22"/>
          <w:lang w:val="en-GB"/>
        </w:rPr>
        <w:t>‐</w:t>
      </w:r>
      <w:r w:rsidRPr="00B60451">
        <w:rPr>
          <w:rFonts w:ascii="Arial" w:hAnsi="Arial" w:cs="Arial"/>
          <w:bCs/>
          <w:sz w:val="22"/>
          <w:szCs w:val="22"/>
          <w:lang w:val="en-GB"/>
        </w:rPr>
        <w:t>2100. doi:10.1128/JB.01637-06 [PH15, CNPH82]</w:t>
      </w:r>
    </w:p>
    <w:p w14:paraId="3B4D0630" w14:textId="77777777" w:rsidR="002D643A" w:rsidRPr="00B60451" w:rsidRDefault="002D643A">
      <w:pPr>
        <w:rPr>
          <w:rFonts w:ascii="Arial" w:hAnsi="Arial" w:cs="Arial"/>
          <w:bCs/>
          <w:sz w:val="22"/>
          <w:szCs w:val="22"/>
          <w:lang w:val="en-GB"/>
        </w:rPr>
      </w:pPr>
    </w:p>
    <w:p w14:paraId="14F339CE" w14:textId="77777777" w:rsidR="002D643A" w:rsidRPr="00B60451" w:rsidRDefault="00C60351">
      <w:pPr>
        <w:rPr>
          <w:rFonts w:ascii="Arial" w:hAnsi="Arial" w:cs="Arial"/>
          <w:sz w:val="22"/>
          <w:szCs w:val="22"/>
          <w:lang w:val="fr-FR"/>
        </w:rPr>
      </w:pP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Gutiérrez D, Martínez B, Rodríguez A, García P. Isolation and characterization of bacteriophages infecting </w:t>
      </w:r>
      <w:r w:rsidRPr="00B60451">
        <w:rPr>
          <w:rFonts w:ascii="Arial" w:hAnsi="Arial" w:cs="Arial"/>
          <w:bCs/>
          <w:i/>
          <w:iCs/>
          <w:sz w:val="22"/>
          <w:szCs w:val="22"/>
          <w:lang w:val="en-GB"/>
        </w:rPr>
        <w:t>Staphylococcus epidermidis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. </w:t>
      </w:r>
      <w:r w:rsidRPr="00B60451">
        <w:rPr>
          <w:rFonts w:ascii="Arial" w:hAnsi="Arial" w:cs="Arial"/>
          <w:bCs/>
          <w:sz w:val="22"/>
          <w:szCs w:val="22"/>
          <w:lang w:val="fr-FR"/>
        </w:rPr>
        <w:t>Curr Microbiol. 2010;61(6):601</w:t>
      </w:r>
      <w:r w:rsidRPr="00B60451">
        <w:rPr>
          <w:rFonts w:ascii="Cambria Math" w:hAnsi="Cambria Math" w:cs="Cambria Math"/>
          <w:bCs/>
          <w:sz w:val="22"/>
          <w:szCs w:val="22"/>
          <w:lang w:val="fr-FR"/>
        </w:rPr>
        <w:t>‐</w:t>
      </w:r>
      <w:r w:rsidRPr="00B60451">
        <w:rPr>
          <w:rFonts w:ascii="Arial" w:hAnsi="Arial" w:cs="Arial"/>
          <w:bCs/>
          <w:sz w:val="22"/>
          <w:szCs w:val="22"/>
          <w:lang w:val="fr-FR"/>
        </w:rPr>
        <w:t>608. doi:10.1007/s00284-010-9659-5  [vB_SepiS-phiIPLA5, vB_SepiS-phiIPLA7]</w:t>
      </w:r>
    </w:p>
    <w:p w14:paraId="51FD498F" w14:textId="77777777" w:rsidR="002D643A" w:rsidRPr="00B60451" w:rsidRDefault="002D643A">
      <w:pPr>
        <w:rPr>
          <w:rFonts w:ascii="Arial" w:hAnsi="Arial" w:cs="Arial"/>
          <w:bCs/>
          <w:sz w:val="22"/>
          <w:szCs w:val="22"/>
          <w:lang w:val="fr-FR"/>
        </w:rPr>
      </w:pPr>
    </w:p>
    <w:p w14:paraId="7CFBD5DA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Cs/>
          <w:sz w:val="22"/>
          <w:szCs w:val="22"/>
          <w:lang w:val="en-GB"/>
        </w:rPr>
        <w:t>Gutiérrez D, Martínez B, Rodríguez A, García P. Genomic characterization of two</w:t>
      </w:r>
      <w:r w:rsidRPr="00B60451">
        <w:rPr>
          <w:rFonts w:ascii="Arial" w:hAnsi="Arial" w:cs="Arial"/>
          <w:bCs/>
          <w:i/>
          <w:iCs/>
          <w:sz w:val="22"/>
          <w:szCs w:val="22"/>
          <w:lang w:val="en-GB"/>
        </w:rPr>
        <w:t xml:space="preserve"> Staphylococcus epidermidis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 bacteriophages with anti-biofilm potential. BMC Genomics. 2012;13:228.  doi:10.1186/1471-2164-13-228 [vB_SepiS-phiIPLA5, vB_SepiS-phiIPLA7]</w:t>
      </w:r>
    </w:p>
    <w:p w14:paraId="64480368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9B78652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50A8D3F3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9010" w:type="dxa"/>
        <w:tblLook w:val="04A0" w:firstRow="1" w:lastRow="0" w:firstColumn="1" w:lastColumn="0" w:noHBand="0" w:noVBand="1"/>
      </w:tblPr>
      <w:tblGrid>
        <w:gridCol w:w="1710"/>
        <w:gridCol w:w="818"/>
        <w:gridCol w:w="1285"/>
        <w:gridCol w:w="696"/>
        <w:gridCol w:w="661"/>
        <w:gridCol w:w="787"/>
        <w:gridCol w:w="807"/>
        <w:gridCol w:w="1032"/>
        <w:gridCol w:w="1214"/>
      </w:tblGrid>
      <w:tr w:rsidR="002D643A" w:rsidRPr="00B60451" w14:paraId="7EACE022" w14:textId="77777777">
        <w:tc>
          <w:tcPr>
            <w:tcW w:w="1710" w:type="dxa"/>
            <w:shd w:val="clear" w:color="auto" w:fill="auto"/>
          </w:tcPr>
          <w:p w14:paraId="77D7FB26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Phage name</w:t>
            </w:r>
          </w:p>
        </w:tc>
        <w:tc>
          <w:tcPr>
            <w:tcW w:w="818" w:type="dxa"/>
            <w:shd w:val="clear" w:color="auto" w:fill="auto"/>
          </w:tcPr>
          <w:p w14:paraId="33CAD3E5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RefSeq No.</w:t>
            </w:r>
          </w:p>
        </w:tc>
        <w:tc>
          <w:tcPr>
            <w:tcW w:w="1285" w:type="dxa"/>
            <w:shd w:val="clear" w:color="auto" w:fill="auto"/>
          </w:tcPr>
          <w:p w14:paraId="072FD209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 xml:space="preserve">INSDC </w:t>
            </w:r>
          </w:p>
        </w:tc>
        <w:tc>
          <w:tcPr>
            <w:tcW w:w="696" w:type="dxa"/>
            <w:shd w:val="clear" w:color="auto" w:fill="auto"/>
          </w:tcPr>
          <w:p w14:paraId="50994E9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Size (Kb)</w:t>
            </w:r>
          </w:p>
        </w:tc>
        <w:tc>
          <w:tcPr>
            <w:tcW w:w="661" w:type="dxa"/>
            <w:shd w:val="clear" w:color="auto" w:fill="auto"/>
          </w:tcPr>
          <w:p w14:paraId="24685D28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 xml:space="preserve">GC% </w:t>
            </w:r>
          </w:p>
        </w:tc>
        <w:tc>
          <w:tcPr>
            <w:tcW w:w="787" w:type="dxa"/>
            <w:shd w:val="clear" w:color="auto" w:fill="auto"/>
          </w:tcPr>
          <w:p w14:paraId="52CA95C1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 xml:space="preserve">Protein </w:t>
            </w:r>
          </w:p>
        </w:tc>
        <w:tc>
          <w:tcPr>
            <w:tcW w:w="806" w:type="dxa"/>
            <w:shd w:val="clear" w:color="auto" w:fill="auto"/>
          </w:tcPr>
          <w:p w14:paraId="40DFFF3B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tRNAs*</w:t>
            </w:r>
          </w:p>
        </w:tc>
        <w:tc>
          <w:tcPr>
            <w:tcW w:w="1032" w:type="dxa"/>
            <w:shd w:val="clear" w:color="auto" w:fill="auto"/>
          </w:tcPr>
          <w:p w14:paraId="6C4F4669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Overall % DNA sequence identity (**)</w:t>
            </w:r>
          </w:p>
        </w:tc>
        <w:tc>
          <w:tcPr>
            <w:tcW w:w="1214" w:type="dxa"/>
            <w:shd w:val="clear" w:color="auto" w:fill="auto"/>
          </w:tcPr>
          <w:p w14:paraId="384D0B07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Overall % homologous proteins  (***)</w:t>
            </w:r>
          </w:p>
        </w:tc>
      </w:tr>
      <w:tr w:rsidR="002D643A" w:rsidRPr="00B60451" w14:paraId="7771EF8B" w14:textId="77777777">
        <w:tc>
          <w:tcPr>
            <w:tcW w:w="1710" w:type="dxa"/>
            <w:shd w:val="clear" w:color="auto" w:fill="auto"/>
          </w:tcPr>
          <w:p w14:paraId="491F7B53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PH15</w:t>
            </w:r>
          </w:p>
        </w:tc>
        <w:tc>
          <w:tcPr>
            <w:tcW w:w="818" w:type="dxa"/>
            <w:shd w:val="clear" w:color="auto" w:fill="auto"/>
            <w:vAlign w:val="center"/>
          </w:tcPr>
          <w:p w14:paraId="57CB0C79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285" w:type="dxa"/>
            <w:shd w:val="clear" w:color="auto" w:fill="auto"/>
            <w:vAlign w:val="center"/>
          </w:tcPr>
          <w:p w14:paraId="23AA5853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8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DQ834250.1</w:t>
              </w:r>
            </w:hyperlink>
          </w:p>
        </w:tc>
        <w:tc>
          <w:tcPr>
            <w:tcW w:w="696" w:type="dxa"/>
            <w:shd w:val="clear" w:color="auto" w:fill="auto"/>
            <w:vAlign w:val="center"/>
          </w:tcPr>
          <w:p w14:paraId="590B1DE0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44.04</w:t>
            </w:r>
          </w:p>
        </w:tc>
        <w:tc>
          <w:tcPr>
            <w:tcW w:w="661" w:type="dxa"/>
            <w:shd w:val="clear" w:color="auto" w:fill="auto"/>
            <w:vAlign w:val="center"/>
          </w:tcPr>
          <w:p w14:paraId="1A85FD48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34.9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21528402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9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6</w:t>
              </w:r>
            </w:hyperlink>
            <w:r w:rsidR="00C60351"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8</w:t>
            </w:r>
          </w:p>
        </w:tc>
        <w:tc>
          <w:tcPr>
            <w:tcW w:w="806" w:type="dxa"/>
            <w:shd w:val="clear" w:color="auto" w:fill="auto"/>
            <w:vAlign w:val="center"/>
          </w:tcPr>
          <w:p w14:paraId="759EF3D3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shd w:val="clear" w:color="auto" w:fill="auto"/>
          </w:tcPr>
          <w:p w14:paraId="6DFCE135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  <w:tc>
          <w:tcPr>
            <w:tcW w:w="1214" w:type="dxa"/>
            <w:shd w:val="clear" w:color="auto" w:fill="auto"/>
          </w:tcPr>
          <w:p w14:paraId="19589C5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</w:tr>
      <w:tr w:rsidR="002D643A" w:rsidRPr="00B60451" w14:paraId="6486ACC2" w14:textId="77777777">
        <w:tc>
          <w:tcPr>
            <w:tcW w:w="1710" w:type="dxa"/>
            <w:shd w:val="clear" w:color="auto" w:fill="auto"/>
          </w:tcPr>
          <w:p w14:paraId="68FFAE11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vB-SepiS_philPLA5</w:t>
            </w:r>
          </w:p>
        </w:tc>
        <w:tc>
          <w:tcPr>
            <w:tcW w:w="818" w:type="dxa"/>
            <w:shd w:val="clear" w:color="auto" w:fill="auto"/>
          </w:tcPr>
          <w:p w14:paraId="33C5A4B5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shd w:val="clear" w:color="auto" w:fill="auto"/>
            <w:vAlign w:val="center"/>
          </w:tcPr>
          <w:p w14:paraId="404C8820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0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JN192400.</w:t>
              </w:r>
            </w:hyperlink>
            <w:hyperlink r:id="rId11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1</w:t>
              </w:r>
            </w:hyperlink>
          </w:p>
        </w:tc>
        <w:tc>
          <w:tcPr>
            <w:tcW w:w="696" w:type="dxa"/>
            <w:shd w:val="clear" w:color="auto" w:fill="auto"/>
            <w:vAlign w:val="center"/>
          </w:tcPr>
          <w:p w14:paraId="530EFB55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43.58</w:t>
            </w:r>
          </w:p>
        </w:tc>
        <w:tc>
          <w:tcPr>
            <w:tcW w:w="661" w:type="dxa"/>
            <w:shd w:val="clear" w:color="auto" w:fill="auto"/>
            <w:vAlign w:val="center"/>
          </w:tcPr>
          <w:p w14:paraId="00CCBF3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34.7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49CFE0C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66</w:t>
            </w:r>
          </w:p>
        </w:tc>
        <w:tc>
          <w:tcPr>
            <w:tcW w:w="806" w:type="dxa"/>
            <w:shd w:val="clear" w:color="auto" w:fill="auto"/>
          </w:tcPr>
          <w:p w14:paraId="46EEA5DB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shd w:val="clear" w:color="auto" w:fill="auto"/>
          </w:tcPr>
          <w:p w14:paraId="4C5DA20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62.4</w:t>
            </w:r>
          </w:p>
        </w:tc>
        <w:tc>
          <w:tcPr>
            <w:tcW w:w="1214" w:type="dxa"/>
            <w:shd w:val="clear" w:color="auto" w:fill="auto"/>
          </w:tcPr>
          <w:p w14:paraId="3F1D5D07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69.1</w:t>
            </w:r>
          </w:p>
        </w:tc>
      </w:tr>
      <w:tr w:rsidR="002D643A" w:rsidRPr="00B60451" w14:paraId="448614D1" w14:textId="77777777">
        <w:tc>
          <w:tcPr>
            <w:tcW w:w="1710" w:type="dxa"/>
            <w:tcBorders>
              <w:top w:val="nil"/>
            </w:tcBorders>
            <w:shd w:val="clear" w:color="auto" w:fill="auto"/>
          </w:tcPr>
          <w:p w14:paraId="1D9E78CD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vB-SepiS_philPLA7</w:t>
            </w:r>
          </w:p>
        </w:tc>
        <w:tc>
          <w:tcPr>
            <w:tcW w:w="818" w:type="dxa"/>
            <w:tcBorders>
              <w:top w:val="nil"/>
            </w:tcBorders>
            <w:shd w:val="clear" w:color="auto" w:fill="auto"/>
          </w:tcPr>
          <w:p w14:paraId="638D20A5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tcBorders>
              <w:top w:val="nil"/>
            </w:tcBorders>
            <w:shd w:val="clear" w:color="auto" w:fill="auto"/>
            <w:vAlign w:val="center"/>
          </w:tcPr>
          <w:p w14:paraId="382A416B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2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JN192401.1</w:t>
              </w:r>
            </w:hyperlink>
          </w:p>
        </w:tc>
        <w:tc>
          <w:tcPr>
            <w:tcW w:w="696" w:type="dxa"/>
            <w:tcBorders>
              <w:top w:val="nil"/>
            </w:tcBorders>
            <w:shd w:val="clear" w:color="auto" w:fill="auto"/>
            <w:vAlign w:val="center"/>
          </w:tcPr>
          <w:p w14:paraId="481C79CA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42.12</w:t>
            </w:r>
          </w:p>
        </w:tc>
        <w:tc>
          <w:tcPr>
            <w:tcW w:w="661" w:type="dxa"/>
            <w:tcBorders>
              <w:top w:val="nil"/>
            </w:tcBorders>
            <w:shd w:val="clear" w:color="auto" w:fill="auto"/>
            <w:vAlign w:val="center"/>
          </w:tcPr>
          <w:p w14:paraId="07792502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34.8</w:t>
            </w:r>
          </w:p>
        </w:tc>
        <w:tc>
          <w:tcPr>
            <w:tcW w:w="787" w:type="dxa"/>
            <w:tcBorders>
              <w:top w:val="nil"/>
            </w:tcBorders>
            <w:shd w:val="clear" w:color="auto" w:fill="auto"/>
            <w:vAlign w:val="center"/>
          </w:tcPr>
          <w:p w14:paraId="4D8D8369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59</w:t>
            </w:r>
          </w:p>
        </w:tc>
        <w:tc>
          <w:tcPr>
            <w:tcW w:w="806" w:type="dxa"/>
            <w:tcBorders>
              <w:top w:val="nil"/>
            </w:tcBorders>
            <w:shd w:val="clear" w:color="auto" w:fill="auto"/>
          </w:tcPr>
          <w:p w14:paraId="48F72A23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tcBorders>
              <w:top w:val="nil"/>
            </w:tcBorders>
            <w:shd w:val="clear" w:color="auto" w:fill="auto"/>
          </w:tcPr>
          <w:p w14:paraId="4D185622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76.5</w:t>
            </w:r>
          </w:p>
        </w:tc>
        <w:tc>
          <w:tcPr>
            <w:tcW w:w="1214" w:type="dxa"/>
            <w:tcBorders>
              <w:top w:val="nil"/>
            </w:tcBorders>
            <w:shd w:val="clear" w:color="auto" w:fill="auto"/>
          </w:tcPr>
          <w:p w14:paraId="39AD32E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73.5</w:t>
            </w:r>
          </w:p>
        </w:tc>
      </w:tr>
      <w:tr w:rsidR="002D643A" w:rsidRPr="00B60451" w14:paraId="74538C98" w14:textId="77777777">
        <w:tc>
          <w:tcPr>
            <w:tcW w:w="1710" w:type="dxa"/>
            <w:tcBorders>
              <w:top w:val="nil"/>
            </w:tcBorders>
            <w:shd w:val="clear" w:color="auto" w:fill="auto"/>
          </w:tcPr>
          <w:p w14:paraId="66D97469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IME1348_01</w:t>
            </w:r>
          </w:p>
        </w:tc>
        <w:tc>
          <w:tcPr>
            <w:tcW w:w="818" w:type="dxa"/>
            <w:tcBorders>
              <w:top w:val="nil"/>
            </w:tcBorders>
            <w:shd w:val="clear" w:color="auto" w:fill="auto"/>
          </w:tcPr>
          <w:p w14:paraId="3F53BBDB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tcBorders>
              <w:top w:val="nil"/>
            </w:tcBorders>
            <w:shd w:val="clear" w:color="auto" w:fill="auto"/>
            <w:vAlign w:val="center"/>
          </w:tcPr>
          <w:p w14:paraId="0A5AA6FD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3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KY653120.1</w:t>
              </w:r>
            </w:hyperlink>
          </w:p>
        </w:tc>
        <w:tc>
          <w:tcPr>
            <w:tcW w:w="696" w:type="dxa"/>
            <w:tcBorders>
              <w:top w:val="nil"/>
            </w:tcBorders>
            <w:shd w:val="clear" w:color="auto" w:fill="auto"/>
            <w:vAlign w:val="center"/>
          </w:tcPr>
          <w:p w14:paraId="52C4F700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42.37</w:t>
            </w:r>
          </w:p>
        </w:tc>
        <w:tc>
          <w:tcPr>
            <w:tcW w:w="661" w:type="dxa"/>
            <w:tcBorders>
              <w:top w:val="nil"/>
            </w:tcBorders>
            <w:shd w:val="clear" w:color="auto" w:fill="auto"/>
            <w:vAlign w:val="center"/>
          </w:tcPr>
          <w:p w14:paraId="69449297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34.7</w:t>
            </w:r>
          </w:p>
        </w:tc>
        <w:tc>
          <w:tcPr>
            <w:tcW w:w="787" w:type="dxa"/>
            <w:tcBorders>
              <w:top w:val="nil"/>
            </w:tcBorders>
            <w:shd w:val="clear" w:color="auto" w:fill="auto"/>
            <w:vAlign w:val="center"/>
          </w:tcPr>
          <w:p w14:paraId="06B891A9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63</w:t>
            </w:r>
          </w:p>
        </w:tc>
        <w:tc>
          <w:tcPr>
            <w:tcW w:w="806" w:type="dxa"/>
            <w:tcBorders>
              <w:top w:val="nil"/>
            </w:tcBorders>
            <w:shd w:val="clear" w:color="auto" w:fill="auto"/>
          </w:tcPr>
          <w:p w14:paraId="71B8BBF6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tcBorders>
              <w:top w:val="nil"/>
            </w:tcBorders>
            <w:shd w:val="clear" w:color="auto" w:fill="auto"/>
          </w:tcPr>
          <w:p w14:paraId="570FB5B7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65.8</w:t>
            </w:r>
          </w:p>
        </w:tc>
        <w:tc>
          <w:tcPr>
            <w:tcW w:w="1214" w:type="dxa"/>
            <w:tcBorders>
              <w:top w:val="nil"/>
            </w:tcBorders>
            <w:shd w:val="clear" w:color="auto" w:fill="auto"/>
          </w:tcPr>
          <w:p w14:paraId="10BB164F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63.2</w:t>
            </w:r>
          </w:p>
        </w:tc>
      </w:tr>
      <w:tr w:rsidR="002D643A" w:rsidRPr="00B60451" w14:paraId="531D3F99" w14:textId="77777777">
        <w:tc>
          <w:tcPr>
            <w:tcW w:w="1710" w:type="dxa"/>
            <w:tcBorders>
              <w:top w:val="nil"/>
            </w:tcBorders>
            <w:shd w:val="clear" w:color="auto" w:fill="auto"/>
          </w:tcPr>
          <w:p w14:paraId="4445906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CNPH82</w:t>
            </w:r>
          </w:p>
        </w:tc>
        <w:tc>
          <w:tcPr>
            <w:tcW w:w="818" w:type="dxa"/>
            <w:tcBorders>
              <w:top w:val="nil"/>
            </w:tcBorders>
            <w:shd w:val="clear" w:color="auto" w:fill="auto"/>
          </w:tcPr>
          <w:p w14:paraId="3BC118D5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tcBorders>
              <w:top w:val="nil"/>
            </w:tcBorders>
            <w:shd w:val="clear" w:color="auto" w:fill="auto"/>
            <w:vAlign w:val="center"/>
          </w:tcPr>
          <w:p w14:paraId="79E2684F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4" w:tgtFrame="lnkGTHMECBB0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DQ831957.1</w:t>
              </w:r>
            </w:hyperlink>
          </w:p>
        </w:tc>
        <w:tc>
          <w:tcPr>
            <w:tcW w:w="696" w:type="dxa"/>
            <w:tcBorders>
              <w:top w:val="nil"/>
            </w:tcBorders>
            <w:shd w:val="clear" w:color="auto" w:fill="auto"/>
            <w:vAlign w:val="center"/>
          </w:tcPr>
          <w:p w14:paraId="7DC8A318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43.42</w:t>
            </w:r>
          </w:p>
        </w:tc>
        <w:tc>
          <w:tcPr>
            <w:tcW w:w="661" w:type="dxa"/>
            <w:tcBorders>
              <w:top w:val="nil"/>
            </w:tcBorders>
            <w:shd w:val="clear" w:color="auto" w:fill="auto"/>
            <w:vAlign w:val="center"/>
          </w:tcPr>
          <w:p w14:paraId="1525CE6D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34.7</w:t>
            </w:r>
          </w:p>
        </w:tc>
        <w:tc>
          <w:tcPr>
            <w:tcW w:w="787" w:type="dxa"/>
            <w:tcBorders>
              <w:top w:val="nil"/>
            </w:tcBorders>
            <w:shd w:val="clear" w:color="auto" w:fill="auto"/>
            <w:vAlign w:val="center"/>
          </w:tcPr>
          <w:p w14:paraId="666CE511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65</w:t>
            </w:r>
          </w:p>
        </w:tc>
        <w:tc>
          <w:tcPr>
            <w:tcW w:w="806" w:type="dxa"/>
            <w:tcBorders>
              <w:top w:val="nil"/>
            </w:tcBorders>
            <w:shd w:val="clear" w:color="auto" w:fill="auto"/>
          </w:tcPr>
          <w:p w14:paraId="7A9CA33A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tcBorders>
              <w:top w:val="nil"/>
            </w:tcBorders>
            <w:shd w:val="clear" w:color="auto" w:fill="auto"/>
          </w:tcPr>
          <w:p w14:paraId="662ED10B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69.1</w:t>
            </w:r>
          </w:p>
        </w:tc>
        <w:tc>
          <w:tcPr>
            <w:tcW w:w="1214" w:type="dxa"/>
            <w:tcBorders>
              <w:top w:val="nil"/>
            </w:tcBorders>
            <w:shd w:val="clear" w:color="auto" w:fill="auto"/>
          </w:tcPr>
          <w:p w14:paraId="2D167F45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75.0</w:t>
            </w:r>
          </w:p>
        </w:tc>
      </w:tr>
      <w:tr w:rsidR="002D643A" w:rsidRPr="00B60451" w14:paraId="7B558BB2" w14:textId="77777777">
        <w:tc>
          <w:tcPr>
            <w:tcW w:w="1710" w:type="dxa"/>
            <w:tcBorders>
              <w:top w:val="nil"/>
            </w:tcBorders>
            <w:shd w:val="clear" w:color="auto" w:fill="auto"/>
          </w:tcPr>
          <w:p w14:paraId="241DC001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CNPx</w:t>
            </w:r>
          </w:p>
        </w:tc>
        <w:tc>
          <w:tcPr>
            <w:tcW w:w="818" w:type="dxa"/>
            <w:tcBorders>
              <w:top w:val="nil"/>
            </w:tcBorders>
            <w:shd w:val="clear" w:color="auto" w:fill="auto"/>
          </w:tcPr>
          <w:p w14:paraId="245B9DAA" w14:textId="77777777" w:rsidR="002D643A" w:rsidRPr="00B60451" w:rsidRDefault="002D643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tcBorders>
              <w:top w:val="nil"/>
            </w:tcBorders>
            <w:shd w:val="clear" w:color="auto" w:fill="auto"/>
            <w:vAlign w:val="center"/>
          </w:tcPr>
          <w:p w14:paraId="69BC382E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5" w:tgtFrame="lnkGS94X4ND01R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KU598975.1</w:t>
              </w:r>
            </w:hyperlink>
          </w:p>
        </w:tc>
        <w:tc>
          <w:tcPr>
            <w:tcW w:w="696" w:type="dxa"/>
            <w:tcBorders>
              <w:top w:val="nil"/>
            </w:tcBorders>
            <w:shd w:val="clear" w:color="auto" w:fill="auto"/>
            <w:vAlign w:val="center"/>
          </w:tcPr>
          <w:p w14:paraId="74C42A1A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43.29</w:t>
            </w:r>
          </w:p>
        </w:tc>
        <w:tc>
          <w:tcPr>
            <w:tcW w:w="661" w:type="dxa"/>
            <w:tcBorders>
              <w:top w:val="nil"/>
            </w:tcBorders>
            <w:shd w:val="clear" w:color="auto" w:fill="auto"/>
            <w:vAlign w:val="center"/>
          </w:tcPr>
          <w:p w14:paraId="24902F24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</w:rPr>
              <w:t>34.7</w:t>
            </w:r>
          </w:p>
        </w:tc>
        <w:tc>
          <w:tcPr>
            <w:tcW w:w="787" w:type="dxa"/>
            <w:tcBorders>
              <w:top w:val="nil"/>
            </w:tcBorders>
            <w:shd w:val="clear" w:color="auto" w:fill="auto"/>
            <w:vAlign w:val="center"/>
          </w:tcPr>
          <w:p w14:paraId="4A6D501E" w14:textId="77777777" w:rsidR="002D643A" w:rsidRPr="00B60451" w:rsidRDefault="0099633E">
            <w:pPr>
              <w:rPr>
                <w:rFonts w:ascii="Arial" w:hAnsi="Arial" w:cs="Arial"/>
                <w:sz w:val="18"/>
                <w:szCs w:val="18"/>
              </w:rPr>
            </w:pPr>
            <w:hyperlink r:id="rId16">
              <w:r w:rsidR="00C60351" w:rsidRPr="00B60451">
                <w:rPr>
                  <w:rStyle w:val="InternetLink"/>
                  <w:rFonts w:ascii="Arial" w:eastAsia="Times" w:hAnsi="Arial" w:cs="Arial"/>
                  <w:sz w:val="18"/>
                  <w:szCs w:val="18"/>
                </w:rPr>
                <w:t>6</w:t>
              </w:r>
            </w:hyperlink>
            <w:r w:rsidR="00C60351" w:rsidRPr="00B60451">
              <w:rPr>
                <w:rStyle w:val="InternetLink"/>
                <w:rFonts w:ascii="Arial" w:eastAsia="Times" w:hAnsi="Arial" w:cs="Arial"/>
                <w:sz w:val="18"/>
                <w:szCs w:val="18"/>
              </w:rPr>
              <w:t>9</w:t>
            </w:r>
          </w:p>
        </w:tc>
        <w:tc>
          <w:tcPr>
            <w:tcW w:w="806" w:type="dxa"/>
            <w:tcBorders>
              <w:top w:val="nil"/>
            </w:tcBorders>
            <w:shd w:val="clear" w:color="auto" w:fill="auto"/>
          </w:tcPr>
          <w:p w14:paraId="5EA77925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32" w:type="dxa"/>
            <w:tcBorders>
              <w:top w:val="nil"/>
            </w:tcBorders>
            <w:shd w:val="clear" w:color="auto" w:fill="auto"/>
          </w:tcPr>
          <w:p w14:paraId="59DF7002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83.0</w:t>
            </w:r>
          </w:p>
        </w:tc>
        <w:tc>
          <w:tcPr>
            <w:tcW w:w="1214" w:type="dxa"/>
            <w:tcBorders>
              <w:top w:val="nil"/>
            </w:tcBorders>
            <w:shd w:val="clear" w:color="auto" w:fill="auto"/>
          </w:tcPr>
          <w:p w14:paraId="6BD8E852" w14:textId="77777777" w:rsidR="002D643A" w:rsidRPr="00B60451" w:rsidRDefault="00C60351">
            <w:pPr>
              <w:rPr>
                <w:rFonts w:ascii="Arial" w:hAnsi="Arial" w:cs="Arial"/>
                <w:sz w:val="18"/>
                <w:szCs w:val="18"/>
              </w:rPr>
            </w:pPr>
            <w:r w:rsidRPr="00B60451">
              <w:rPr>
                <w:rFonts w:ascii="Arial" w:hAnsi="Arial" w:cs="Arial"/>
                <w:sz w:val="18"/>
                <w:szCs w:val="18"/>
                <w:lang w:val="en-GB"/>
              </w:rPr>
              <w:t>86.8</w:t>
            </w:r>
          </w:p>
        </w:tc>
      </w:tr>
    </w:tbl>
    <w:p w14:paraId="1BDD19E3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bCs/>
          <w:sz w:val="22"/>
          <w:szCs w:val="22"/>
          <w:lang w:val="en-GB"/>
        </w:rPr>
        <w:t xml:space="preserve">N.B. </w:t>
      </w:r>
      <w:r w:rsidRPr="00B60451">
        <w:rPr>
          <w:rFonts w:ascii="Arial" w:hAnsi="Arial" w:cs="Arial"/>
          <w:b/>
          <w:bCs/>
          <w:i/>
          <w:iCs/>
          <w:sz w:val="22"/>
          <w:szCs w:val="22"/>
          <w:lang w:val="en-GB"/>
        </w:rPr>
        <w:t>Staphylococcus</w:t>
      </w:r>
      <w:r w:rsidRPr="00B60451">
        <w:rPr>
          <w:rFonts w:ascii="Arial" w:hAnsi="Arial" w:cs="Arial"/>
          <w:b/>
          <w:bCs/>
          <w:sz w:val="22"/>
          <w:szCs w:val="22"/>
          <w:lang w:val="en-GB"/>
        </w:rPr>
        <w:t xml:space="preserve"> phage PH15 should be considered strain of the type species in this genus. </w:t>
      </w:r>
    </w:p>
    <w:p w14:paraId="0C36D470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bCs/>
          <w:sz w:val="22"/>
          <w:szCs w:val="22"/>
          <w:lang w:val="en-GB"/>
        </w:rPr>
        <w:t>(*) determined using tRNAscan-SE [2]</w:t>
      </w:r>
    </w:p>
    <w:p w14:paraId="2E807E4B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bCs/>
          <w:sz w:val="22"/>
          <w:szCs w:val="22"/>
          <w:lang w:val="en-GB"/>
        </w:rPr>
        <w:t>(**) determined using VIRIDIC [3]</w:t>
      </w:r>
    </w:p>
    <w:p w14:paraId="1279C02A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bCs/>
          <w:sz w:val="22"/>
          <w:szCs w:val="22"/>
          <w:lang w:val="en-GB"/>
        </w:rPr>
        <w:t>(***) determined using CoreGenes 3.5 [4]</w:t>
      </w:r>
    </w:p>
    <w:p w14:paraId="63CDD895" w14:textId="77777777" w:rsidR="002D643A" w:rsidRPr="00B60451" w:rsidRDefault="002D643A">
      <w:pPr>
        <w:rPr>
          <w:rFonts w:ascii="Arial" w:hAnsi="Arial" w:cs="Arial"/>
          <w:b/>
          <w:bCs/>
          <w:sz w:val="22"/>
          <w:szCs w:val="22"/>
          <w:lang w:val="en-GB"/>
        </w:rPr>
      </w:pPr>
    </w:p>
    <w:p w14:paraId="6AFAB759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BLASTN homologs: </w:t>
      </w:r>
      <w:r w:rsidRPr="00B60451">
        <w:rPr>
          <w:rFonts w:ascii="Arial" w:hAnsi="Arial" w:cs="Arial"/>
          <w:color w:val="0000FF"/>
          <w:sz w:val="22"/>
          <w:szCs w:val="22"/>
          <w:lang w:val="en-GB"/>
        </w:rPr>
        <w:t xml:space="preserve"> </w:t>
      </w:r>
      <w:r w:rsidRPr="00B60451">
        <w:rPr>
          <w:rFonts w:ascii="Arial" w:hAnsi="Arial" w:cs="Arial"/>
          <w:b/>
          <w:bCs/>
          <w:sz w:val="22"/>
          <w:szCs w:val="22"/>
          <w:lang w:val="en-GB"/>
        </w:rPr>
        <w:t xml:space="preserve">BLASTN analysis reveals that the closest relative is </w:t>
      </w:r>
      <w:r w:rsidRPr="00B60451">
        <w:rPr>
          <w:rFonts w:ascii="Arial" w:hAnsi="Arial" w:cs="Arial"/>
          <w:b/>
          <w:bCs/>
          <w:i/>
          <w:iCs/>
          <w:sz w:val="22"/>
          <w:szCs w:val="22"/>
          <w:lang w:val="en-GB"/>
        </w:rPr>
        <w:t>Staphylococcus</w:t>
      </w:r>
      <w:r w:rsidRPr="00B60451">
        <w:rPr>
          <w:rFonts w:ascii="Arial" w:hAnsi="Arial" w:cs="Arial"/>
          <w:b/>
          <w:bCs/>
          <w:sz w:val="22"/>
          <w:szCs w:val="22"/>
          <w:lang w:val="en-GB"/>
        </w:rPr>
        <w:t xml:space="preserve"> phage StB20 [JN700521.1] [5].  It shares 15% DNA sequence with PH15.  </w:t>
      </w:r>
    </w:p>
    <w:p w14:paraId="2F58CEC3" w14:textId="77777777" w:rsidR="002D643A" w:rsidRPr="00B60451" w:rsidRDefault="002D643A">
      <w:pPr>
        <w:rPr>
          <w:rFonts w:ascii="Arial" w:hAnsi="Arial" w:cs="Arial"/>
          <w:sz w:val="22"/>
          <w:szCs w:val="22"/>
          <w:lang w:val="en-GB"/>
        </w:rPr>
      </w:pPr>
    </w:p>
    <w:p w14:paraId="7D00EB5F" w14:textId="77777777" w:rsidR="002D643A" w:rsidRPr="00B60451" w:rsidRDefault="002D643A">
      <w:pPr>
        <w:rPr>
          <w:rFonts w:ascii="Arial" w:hAnsi="Arial" w:cs="Arial"/>
          <w:sz w:val="22"/>
          <w:szCs w:val="22"/>
          <w:lang w:val="en-GB"/>
        </w:rPr>
      </w:pPr>
    </w:p>
    <w:p w14:paraId="2752A83B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[2]) computes pairwise intergenomic distances/similarities amongst phage genomes. The phage names highlighted in </w:t>
      </w:r>
      <w:r w:rsidRPr="00B60451">
        <w:rPr>
          <w:rFonts w:ascii="Arial" w:hAnsi="Arial" w:cs="Arial"/>
          <w:b/>
          <w:color w:val="FFC000"/>
          <w:sz w:val="22"/>
          <w:szCs w:val="22"/>
          <w:lang w:val="en-GB"/>
        </w:rPr>
        <w:t>yellow</w:t>
      </w:r>
      <w:r w:rsidRPr="00B60451">
        <w:rPr>
          <w:rFonts w:ascii="Arial" w:hAnsi="Arial" w:cs="Arial"/>
          <w:bCs/>
          <w:sz w:val="22"/>
          <w:szCs w:val="22"/>
          <w:lang w:val="en-GB"/>
        </w:rPr>
        <w:t xml:space="preserve"> are those which will be added through this TaxoProp.</w:t>
      </w:r>
    </w:p>
    <w:p w14:paraId="290C97B5" w14:textId="77777777" w:rsidR="002D643A" w:rsidRPr="00B60451" w:rsidRDefault="00C60351">
      <w:pPr>
        <w:rPr>
          <w:rFonts w:ascii="Arial" w:hAnsi="Arial" w:cs="Arial"/>
          <w:bCs/>
          <w:sz w:val="22"/>
          <w:szCs w:val="22"/>
          <w:lang w:val="en-GB"/>
        </w:rPr>
      </w:pPr>
      <w:r w:rsidRPr="00B60451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05A0057" wp14:editId="07CBDBF5">
            <wp:extent cx="5727700" cy="2146935"/>
            <wp:effectExtent l="0" t="0" r="0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4BE0A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39B63D2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B512F21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489D58A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6D1CCBA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9A7BAE3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2B95C9A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C223405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73286E0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86CF7CC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76B1E55" w14:textId="77777777" w:rsidR="002D643A" w:rsidRPr="00B60451" w:rsidRDefault="002D643A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737778D2" w14:textId="77777777" w:rsidR="002D643A" w:rsidRPr="00B60451" w:rsidRDefault="00C60351">
      <w:p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ViPTree analysis: </w:t>
      </w:r>
      <w:r w:rsidRPr="00B60451">
        <w:rPr>
          <w:rFonts w:ascii="Arial" w:hAnsi="Arial" w:cs="Arial"/>
          <w:sz w:val="22"/>
          <w:szCs w:val="22"/>
          <w:lang w:val="en-GB"/>
        </w:rPr>
        <w:t>ViPTree analysis (</w:t>
      </w:r>
      <w:hyperlink r:id="rId18">
        <w:r w:rsidRPr="00B60451">
          <w:rPr>
            <w:rStyle w:val="InternetLink"/>
            <w:rFonts w:ascii="Arial" w:hAnsi="Arial" w:cs="Arial"/>
            <w:sz w:val="22"/>
            <w:szCs w:val="22"/>
            <w:lang w:val="en-GB"/>
          </w:rPr>
          <w:t>https://www.genome.jp/viptree/</w:t>
        </w:r>
      </w:hyperlink>
      <w:r w:rsidRPr="00B60451">
        <w:rPr>
          <w:rFonts w:ascii="Arial" w:hAnsi="Arial" w:cs="Arial"/>
          <w:sz w:val="22"/>
          <w:szCs w:val="22"/>
          <w:lang w:val="en-GB"/>
        </w:rPr>
        <w:t xml:space="preserve">; [6]) is based upon Rohwer and Edwards (2002) famous Phage Proteomic Tree [7].   The large </w:t>
      </w:r>
      <w:r w:rsidRPr="00B60451">
        <w:rPr>
          <w:rFonts w:ascii="Arial" w:hAnsi="Arial" w:cs="Arial"/>
          <w:b/>
          <w:bCs/>
          <w:color w:val="0070C0"/>
          <w:sz w:val="22"/>
          <w:szCs w:val="22"/>
          <w:lang w:val="en-GB"/>
        </w:rPr>
        <w:t>blue arrowhead</w:t>
      </w:r>
      <w:r w:rsidRPr="00B60451">
        <w:rPr>
          <w:rFonts w:ascii="Arial" w:hAnsi="Arial" w:cs="Arial"/>
          <w:color w:val="0070C0"/>
          <w:sz w:val="22"/>
          <w:szCs w:val="22"/>
          <w:lang w:val="en-GB"/>
        </w:rPr>
        <w:t xml:space="preserve"> 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points to the </w:t>
      </w:r>
      <w:r w:rsidRPr="00B60451">
        <w:rPr>
          <w:rFonts w:ascii="Arial" w:hAnsi="Arial" w:cs="Arial"/>
          <w:i/>
          <w:iCs/>
          <w:sz w:val="22"/>
          <w:szCs w:val="22"/>
          <w:lang w:val="en-GB"/>
        </w:rPr>
        <w:t>Rockefellervirus</w:t>
      </w:r>
      <w:r w:rsidRPr="00B60451">
        <w:rPr>
          <w:rFonts w:ascii="Arial" w:hAnsi="Arial" w:cs="Arial"/>
          <w:sz w:val="22"/>
          <w:szCs w:val="22"/>
          <w:lang w:val="en-GB"/>
        </w:rPr>
        <w:t xml:space="preserve"> genus.</w:t>
      </w:r>
    </w:p>
    <w:p w14:paraId="4962F73E" w14:textId="77777777" w:rsidR="002D643A" w:rsidRPr="00B60451" w:rsidRDefault="002D643A">
      <w:pPr>
        <w:rPr>
          <w:rFonts w:ascii="Arial" w:hAnsi="Arial" w:cs="Arial"/>
          <w:bCs/>
          <w:sz w:val="22"/>
          <w:szCs w:val="22"/>
          <w:lang w:val="en-GB"/>
        </w:rPr>
      </w:pPr>
    </w:p>
    <w:p w14:paraId="74B3CF2D" w14:textId="77777777" w:rsidR="002D643A" w:rsidRPr="00B60451" w:rsidRDefault="00C60351">
      <w:pPr>
        <w:rPr>
          <w:rFonts w:ascii="Arial" w:hAnsi="Arial" w:cs="Arial"/>
          <w:b/>
          <w:sz w:val="22"/>
          <w:szCs w:val="22"/>
        </w:rPr>
      </w:pPr>
      <w:r w:rsidRPr="00B60451">
        <w:rPr>
          <w:rFonts w:ascii="Arial" w:hAnsi="Arial" w:cs="Arial"/>
          <w:b/>
          <w:noProof/>
          <w:sz w:val="22"/>
          <w:szCs w:val="22"/>
        </w:rPr>
        <w:drawing>
          <wp:anchor distT="0" distB="0" distL="0" distR="0" simplePos="0" relativeHeight="3" behindDoc="0" locked="0" layoutInCell="1" allowOverlap="1" wp14:anchorId="32C1EB05" wp14:editId="5461EE5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31510" cy="3972560"/>
            <wp:effectExtent l="0" t="0" r="0" b="0"/>
            <wp:wrapSquare wrapText="largest"/>
            <wp:docPr id="3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1FE065" w14:textId="77777777" w:rsidR="002D643A" w:rsidRPr="00B60451" w:rsidRDefault="002D643A">
      <w:pPr>
        <w:rPr>
          <w:rFonts w:ascii="Arial" w:hAnsi="Arial" w:cs="Arial"/>
          <w:sz w:val="22"/>
          <w:szCs w:val="22"/>
        </w:rPr>
      </w:pPr>
    </w:p>
    <w:p w14:paraId="2EF03DA9" w14:textId="77777777" w:rsidR="002D643A" w:rsidRPr="00B60451" w:rsidRDefault="002D643A">
      <w:pPr>
        <w:rPr>
          <w:rFonts w:ascii="Arial" w:hAnsi="Arial" w:cs="Arial"/>
          <w:b/>
          <w:sz w:val="22"/>
          <w:szCs w:val="22"/>
        </w:rPr>
      </w:pPr>
    </w:p>
    <w:p w14:paraId="517A545C" w14:textId="77777777" w:rsidR="002D643A" w:rsidRPr="00B60451" w:rsidRDefault="00C60351">
      <w:pPr>
        <w:spacing w:before="120" w:after="120"/>
        <w:rPr>
          <w:rFonts w:ascii="Arial" w:hAnsi="Arial" w:cs="Arial"/>
        </w:rPr>
      </w:pPr>
      <w:r w:rsidRPr="00B60451">
        <w:rPr>
          <w:rFonts w:ascii="Arial" w:hAnsi="Arial" w:cs="Arial"/>
          <w:b/>
        </w:rPr>
        <w:t>References</w:t>
      </w:r>
    </w:p>
    <w:p w14:paraId="5D0330B3" w14:textId="77777777" w:rsidR="002D643A" w:rsidRPr="00B60451" w:rsidRDefault="002D643A">
      <w:pPr>
        <w:pStyle w:val="BodyTextIndent"/>
        <w:ind w:left="567" w:hanging="567"/>
        <w:rPr>
          <w:rFonts w:ascii="Arial" w:hAnsi="Arial" w:cs="Arial"/>
          <w:b/>
          <w:color w:val="000000"/>
          <w:sz w:val="22"/>
          <w:szCs w:val="22"/>
        </w:rPr>
      </w:pPr>
    </w:p>
    <w:p w14:paraId="5E7036B7" w14:textId="5C8D9105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bookmarkStart w:id="0" w:name="_Hlk42336998"/>
      <w:r w:rsidRPr="00B60451">
        <w:rPr>
          <w:rFonts w:ascii="Arial" w:hAnsi="Arial" w:cs="Arial"/>
          <w:color w:val="000000"/>
          <w:sz w:val="22"/>
          <w:szCs w:val="22"/>
        </w:rPr>
        <w:t>Oliveira H</w:t>
      </w:r>
      <w:bookmarkEnd w:id="0"/>
      <w:r w:rsidRPr="00B60451">
        <w:rPr>
          <w:rFonts w:ascii="Arial" w:hAnsi="Arial" w:cs="Arial"/>
          <w:color w:val="000000"/>
          <w:sz w:val="22"/>
          <w:szCs w:val="22"/>
        </w:rPr>
        <w:t xml:space="preserve">, Sampaio M, Melo LDR, et al. Staphylococci phages display vast genomic diversity and evolutionary relationships. </w:t>
      </w:r>
      <w:r w:rsidRPr="00B60451">
        <w:rPr>
          <w:rFonts w:ascii="Arial" w:hAnsi="Arial" w:cs="Arial"/>
          <w:i/>
          <w:iCs/>
          <w:color w:val="000000"/>
          <w:sz w:val="22"/>
          <w:szCs w:val="22"/>
        </w:rPr>
        <w:t>BMC Genomics</w:t>
      </w:r>
      <w:r w:rsidRPr="00B60451">
        <w:rPr>
          <w:rFonts w:ascii="Arial" w:hAnsi="Arial" w:cs="Arial"/>
          <w:color w:val="000000"/>
          <w:sz w:val="22"/>
          <w:szCs w:val="22"/>
        </w:rPr>
        <w:t>. 2019;20(1):357.  doi:10.1186/s12864-019-5647-8 PMID: 31072320</w:t>
      </w:r>
    </w:p>
    <w:p w14:paraId="3DB1D175" w14:textId="3E014BE7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color w:val="000000"/>
          <w:sz w:val="22"/>
          <w:szCs w:val="22"/>
        </w:rPr>
        <w:t>Chan PP, Lowe TM. tRNAscan-SE: Searching for tRNA Genes in Genomic Sequences. Methods Mol Biol. 2019;1962:1-14. doi: 10.1007/978-1-4939-9173-0_1. PMID:     31020551.</w:t>
      </w:r>
    </w:p>
    <w:p w14:paraId="1EFB703F" w14:textId="52C9A3A6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color w:val="000000"/>
          <w:sz w:val="22"/>
          <w:szCs w:val="22"/>
        </w:rPr>
        <w:t xml:space="preserve">Moraru C, Varsani A, Kropinski AM (2020) VIRIDIC – a novel tool to calculate the intergenomic similarities of prokaryote-infecting viruses. bioRxiv doi: 10.1101/2020.07.05.188268. http://kronos.icbm.uni-oldenburg.de/viridic/   </w:t>
      </w:r>
    </w:p>
    <w:p w14:paraId="42872F37" w14:textId="1C980321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color w:val="000000"/>
          <w:sz w:val="22"/>
          <w:szCs w:val="22"/>
        </w:rPr>
        <w:lastRenderedPageBreak/>
        <w:t>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0140CD18" w14:textId="4BB89597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color w:val="000000"/>
          <w:sz w:val="22"/>
          <w:szCs w:val="22"/>
        </w:rPr>
        <w:t xml:space="preserve">Zhang Z, Schwartz S, Wagner L, Miller W. A greedy algorithm for aligning DNA sequences. J Comput Biol, 2000; 7:203-14. doi: 10.1089/10665270050081478. PMID: </w:t>
      </w:r>
      <w:r w:rsidRPr="00B60451">
        <w:rPr>
          <w:rStyle w:val="StrongEmphasis"/>
          <w:rFonts w:ascii="Arial" w:hAnsi="Arial" w:cs="Arial"/>
          <w:b w:val="0"/>
          <w:bCs w:val="0"/>
          <w:color w:val="000000"/>
          <w:sz w:val="22"/>
          <w:szCs w:val="22"/>
        </w:rPr>
        <w:t>10890397.</w:t>
      </w:r>
      <w:r w:rsidRPr="00B60451">
        <w:rPr>
          <w:rFonts w:ascii="Arial" w:hAnsi="Arial" w:cs="Arial"/>
          <w:color w:val="000000"/>
          <w:sz w:val="22"/>
          <w:szCs w:val="22"/>
        </w:rPr>
        <w:br/>
        <w:t>Nishimura Y, Yoshida T, Kuronishi M, Uehara H, Ogata H, Goto S. ViPTree: the viral proteomic tree server. Bioinformatics. 2017; 33(15):2379-2380. doi:10.1093/bioinformatics/btx157. PubMed PMID: 28379287.</w:t>
      </w:r>
    </w:p>
    <w:p w14:paraId="22FA6FE6" w14:textId="2E9409FD" w:rsidR="002D643A" w:rsidRPr="00B60451" w:rsidRDefault="00C60351" w:rsidP="00B60451">
      <w:pPr>
        <w:pStyle w:val="BodyTextInden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B60451">
        <w:rPr>
          <w:rFonts w:ascii="Arial" w:hAnsi="Arial" w:cs="Arial"/>
          <w:color w:val="000000"/>
          <w:sz w:val="22"/>
          <w:szCs w:val="22"/>
        </w:rPr>
        <w:t>Rohwer F, Edwards R. The Phage Proteomic Tree: a genome-based taxonomy for phage. J Bacteriol. 2002 Aug;184(16):4529-35. PubMed PMID: 12142423</w:t>
      </w:r>
    </w:p>
    <w:p w14:paraId="7CA3864E" w14:textId="77777777" w:rsidR="002D643A" w:rsidRDefault="002D643A">
      <w:pPr>
        <w:pStyle w:val="BodyTextIndent"/>
        <w:ind w:left="567" w:hanging="567"/>
        <w:rPr>
          <w:rFonts w:ascii="Times New Roman" w:hAnsi="Times New Roman"/>
          <w:color w:val="000000"/>
        </w:rPr>
      </w:pPr>
    </w:p>
    <w:p w14:paraId="28646C4A" w14:textId="77777777" w:rsidR="002D643A" w:rsidRDefault="002D643A">
      <w:pPr>
        <w:pStyle w:val="BodyTextIndent"/>
        <w:ind w:left="567" w:hanging="567"/>
      </w:pPr>
    </w:p>
    <w:sectPr w:rsidR="002D643A">
      <w:headerReference w:type="default" r:id="rId20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31D1EF" w14:textId="77777777" w:rsidR="0099633E" w:rsidRDefault="0099633E">
      <w:r>
        <w:separator/>
      </w:r>
    </w:p>
  </w:endnote>
  <w:endnote w:type="continuationSeparator" w:id="0">
    <w:p w14:paraId="2E9BCB54" w14:textId="77777777" w:rsidR="0099633E" w:rsidRDefault="009963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﷽﷽﷽﷽﷽﷽뺭젪爧뫝賀Ʀ悀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Source Han Sans CN Regular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auto"/>
    <w:pitch w:val="variable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E54349" w14:textId="77777777" w:rsidR="0099633E" w:rsidRDefault="0099633E">
      <w:r>
        <w:separator/>
      </w:r>
    </w:p>
  </w:footnote>
  <w:footnote w:type="continuationSeparator" w:id="0">
    <w:p w14:paraId="6343A6BF" w14:textId="77777777" w:rsidR="0099633E" w:rsidRDefault="009963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54451A" w14:textId="77777777" w:rsidR="002D643A" w:rsidRDefault="00C60351">
    <w:pPr>
      <w:pStyle w:val="Header"/>
      <w:jc w:val="right"/>
    </w:pPr>
    <w:r>
      <w:t>March 2020</w:t>
    </w:r>
  </w:p>
  <w:p w14:paraId="11EBC4E6" w14:textId="77777777" w:rsidR="002D643A" w:rsidRDefault="002D643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4F1721"/>
    <w:multiLevelType w:val="hybridMultilevel"/>
    <w:tmpl w:val="2488E80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643A"/>
    <w:rsid w:val="0015533E"/>
    <w:rsid w:val="002B6DFA"/>
    <w:rsid w:val="002D643A"/>
    <w:rsid w:val="003B1B3F"/>
    <w:rsid w:val="005555DE"/>
    <w:rsid w:val="005D6660"/>
    <w:rsid w:val="007369E3"/>
    <w:rsid w:val="0099633E"/>
    <w:rsid w:val="00B60451"/>
    <w:rsid w:val="00C13DAD"/>
    <w:rsid w:val="00C60351"/>
    <w:rsid w:val="00E63C92"/>
    <w:rsid w:val="00F34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C6D935"/>
  <w15:docId w15:val="{03C4B754-FB6A-574C-B335-7C3C69005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uiPriority w:val="99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ascii="Arial" w:hAnsi="Arial" w:cs="Arial"/>
      <w:sz w:val="20"/>
      <w:szCs w:val="20"/>
      <w:lang w:val="en-GB"/>
    </w:rPr>
  </w:style>
  <w:style w:type="character" w:customStyle="1" w:styleId="ListLabel5">
    <w:name w:val="ListLabel 5"/>
    <w:qFormat/>
    <w:rPr>
      <w:rFonts w:ascii="Times New Roman" w:hAnsi="Times New Roman"/>
    </w:rPr>
  </w:style>
  <w:style w:type="character" w:customStyle="1" w:styleId="ListLabel20">
    <w:name w:val="ListLabel 20"/>
    <w:qFormat/>
    <w:rPr>
      <w:rFonts w:ascii="Arial" w:eastAsia="Times" w:hAnsi="Arial" w:cs="Arial"/>
      <w:sz w:val="20"/>
      <w:szCs w:val="20"/>
    </w:rPr>
  </w:style>
  <w:style w:type="character" w:customStyle="1" w:styleId="ListLabel21">
    <w:name w:val="ListLabel 21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StrongEmphasis">
    <w:name w:val="Strong Emphasis"/>
    <w:qFormat/>
    <w:rPr>
      <w:b/>
      <w:bCs/>
    </w:rPr>
  </w:style>
  <w:style w:type="character" w:customStyle="1" w:styleId="ListLabel22">
    <w:name w:val="ListLabel 22"/>
    <w:qFormat/>
    <w:rPr>
      <w:rFonts w:ascii="Arial" w:eastAsia="Times" w:hAnsi="Arial" w:cs="Arial"/>
      <w:sz w:val="20"/>
      <w:szCs w:val="20"/>
    </w:rPr>
  </w:style>
  <w:style w:type="character" w:customStyle="1" w:styleId="ListLabel23">
    <w:name w:val="ListLabel 23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ListLabel24">
    <w:name w:val="ListLabel 24"/>
    <w:qFormat/>
    <w:rPr>
      <w:rFonts w:ascii="Arial" w:hAnsi="Arial" w:cs="Arial"/>
      <w:sz w:val="20"/>
      <w:szCs w:val="20"/>
      <w:lang w:val="en-GB"/>
    </w:rPr>
  </w:style>
  <w:style w:type="character" w:customStyle="1" w:styleId="ListLabel25">
    <w:name w:val="ListLabel 25"/>
    <w:qFormat/>
    <w:rPr>
      <w:rFonts w:ascii="Times New Roman" w:hAnsi="Times New Roman"/>
    </w:rPr>
  </w:style>
  <w:style w:type="character" w:customStyle="1" w:styleId="ListLabel26">
    <w:name w:val="ListLabel 26"/>
    <w:qFormat/>
    <w:rPr>
      <w:rFonts w:ascii="Arial" w:eastAsia="Times" w:hAnsi="Arial" w:cs="Arial"/>
      <w:sz w:val="20"/>
      <w:szCs w:val="20"/>
    </w:rPr>
  </w:style>
  <w:style w:type="character" w:customStyle="1" w:styleId="ListLabel27">
    <w:name w:val="ListLabel 27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ListLabel28">
    <w:name w:val="ListLabel 28"/>
    <w:qFormat/>
    <w:rPr>
      <w:rFonts w:ascii="Arial" w:hAnsi="Arial" w:cs="Arial"/>
      <w:sz w:val="20"/>
      <w:szCs w:val="20"/>
      <w:lang w:val="en-GB"/>
    </w:rPr>
  </w:style>
  <w:style w:type="character" w:customStyle="1" w:styleId="ListLabel29">
    <w:name w:val="ListLabel 29"/>
    <w:qFormat/>
    <w:rPr>
      <w:rFonts w:ascii="Times New Roman" w:hAnsi="Times New Roman"/>
    </w:rPr>
  </w:style>
  <w:style w:type="character" w:customStyle="1" w:styleId="ListLabel30">
    <w:name w:val="ListLabel 30"/>
    <w:qFormat/>
    <w:rPr>
      <w:rFonts w:ascii="Arial" w:eastAsia="Times" w:hAnsi="Arial" w:cs="Arial"/>
      <w:sz w:val="20"/>
      <w:szCs w:val="20"/>
    </w:rPr>
  </w:style>
  <w:style w:type="character" w:customStyle="1" w:styleId="ListLabel31">
    <w:name w:val="ListLabel 31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ListLabel32">
    <w:name w:val="ListLabel 32"/>
    <w:qFormat/>
    <w:rPr>
      <w:rFonts w:ascii="Arial" w:hAnsi="Arial" w:cs="Arial"/>
      <w:sz w:val="20"/>
      <w:szCs w:val="20"/>
      <w:lang w:val="en-GB"/>
    </w:rPr>
  </w:style>
  <w:style w:type="character" w:customStyle="1" w:styleId="ListLabel33">
    <w:name w:val="ListLabel 33"/>
    <w:qFormat/>
    <w:rPr>
      <w:rFonts w:ascii="Times New Roman" w:hAnsi="Times New Roman"/>
    </w:rPr>
  </w:style>
  <w:style w:type="character" w:customStyle="1" w:styleId="ListLabel34">
    <w:name w:val="ListLabel 34"/>
    <w:qFormat/>
    <w:rPr>
      <w:rFonts w:ascii="Arial" w:eastAsia="Times" w:hAnsi="Arial" w:cs="Arial"/>
      <w:sz w:val="20"/>
      <w:szCs w:val="20"/>
    </w:rPr>
  </w:style>
  <w:style w:type="character" w:customStyle="1" w:styleId="ListLabel35">
    <w:name w:val="ListLabel 35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ListLabel36">
    <w:name w:val="ListLabel 36"/>
    <w:qFormat/>
    <w:rPr>
      <w:rFonts w:ascii="Arial" w:hAnsi="Arial" w:cs="Arial"/>
      <w:sz w:val="20"/>
      <w:szCs w:val="20"/>
      <w:lang w:val="en-GB"/>
    </w:rPr>
  </w:style>
  <w:style w:type="character" w:customStyle="1" w:styleId="ListLabel37">
    <w:name w:val="ListLabel 37"/>
    <w:qFormat/>
    <w:rPr>
      <w:rFonts w:ascii="Times New Roman" w:hAnsi="Times New Roman"/>
    </w:rPr>
  </w:style>
  <w:style w:type="character" w:customStyle="1" w:styleId="ListLabel38">
    <w:name w:val="ListLabel 38"/>
    <w:qFormat/>
    <w:rPr>
      <w:rFonts w:ascii="Arial" w:eastAsia="Times" w:hAnsi="Arial" w:cs="Arial"/>
      <w:sz w:val="20"/>
      <w:szCs w:val="20"/>
    </w:rPr>
  </w:style>
  <w:style w:type="character" w:customStyle="1" w:styleId="ListLabel39">
    <w:name w:val="ListLabel 39"/>
    <w:qFormat/>
    <w:rPr>
      <w:rFonts w:ascii="Arial" w:eastAsia="Times" w:hAnsi="Arial" w:cs="Arial"/>
      <w:color w:val="0000FF"/>
      <w:sz w:val="20"/>
      <w:szCs w:val="20"/>
    </w:rPr>
  </w:style>
  <w:style w:type="character" w:customStyle="1" w:styleId="ListLabel40">
    <w:name w:val="ListLabel 40"/>
    <w:qFormat/>
    <w:rPr>
      <w:rFonts w:ascii="Arial" w:hAnsi="Arial" w:cs="Arial"/>
      <w:sz w:val="20"/>
      <w:szCs w:val="20"/>
      <w:lang w:val="en-GB"/>
    </w:rPr>
  </w:style>
  <w:style w:type="character" w:customStyle="1" w:styleId="ListLabel41">
    <w:name w:val="ListLabel 41"/>
    <w:qFormat/>
    <w:rPr>
      <w:rFonts w:ascii="Times New Roman" w:hAnsi="Times New Roman"/>
    </w:rPr>
  </w:style>
  <w:style w:type="character" w:customStyle="1" w:styleId="ListLabel42">
    <w:name w:val="ListLabel 42"/>
    <w:qFormat/>
    <w:rPr>
      <w:rFonts w:ascii="Arial" w:eastAsia="Times" w:hAnsi="Arial" w:cs="Arial"/>
      <w:sz w:val="18"/>
      <w:szCs w:val="18"/>
    </w:rPr>
  </w:style>
  <w:style w:type="character" w:customStyle="1" w:styleId="ListLabel43">
    <w:name w:val="ListLabel 43"/>
    <w:qFormat/>
    <w:rPr>
      <w:rFonts w:ascii="Arial" w:hAnsi="Arial" w:cs="Arial"/>
      <w:sz w:val="20"/>
      <w:szCs w:val="20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Source Han Sans CN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yperlink" Target="about:blank" TargetMode="External"/><Relationship Id="rId18" Type="http://schemas.openxmlformats.org/officeDocument/2006/relationships/hyperlink" Target="about:blank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about:blank" TargetMode="External"/><Relationship Id="rId17" Type="http://schemas.openxmlformats.org/officeDocument/2006/relationships/image" Target="media/image2.tif"/><Relationship Id="rId2" Type="http://schemas.openxmlformats.org/officeDocument/2006/relationships/styles" Target="styles.xml"/><Relationship Id="rId16" Type="http://schemas.openxmlformats.org/officeDocument/2006/relationships/hyperlink" Target="about:blank" TargetMode="External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about:blank" TargetMode="External"/><Relationship Id="rId5" Type="http://schemas.openxmlformats.org/officeDocument/2006/relationships/footnotes" Target="footnotes.xml"/><Relationship Id="rId15" Type="http://schemas.openxmlformats.org/officeDocument/2006/relationships/hyperlink" Target="about:blank" TargetMode="External"/><Relationship Id="rId10" Type="http://schemas.openxmlformats.org/officeDocument/2006/relationships/hyperlink" Target="about:blank" TargetMode="External"/><Relationship Id="rId19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about:blank" TargetMode="External"/><Relationship Id="rId14" Type="http://schemas.openxmlformats.org/officeDocument/2006/relationships/hyperlink" Target="about:blank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937</Words>
  <Characters>5343</Characters>
  <Application>Microsoft Office Word</Application>
  <DocSecurity>0</DocSecurity>
  <Lines>44</Lines>
  <Paragraphs>12</Paragraphs>
  <ScaleCrop>false</ScaleCrop>
  <Company/>
  <LinksUpToDate>false</LinksUpToDate>
  <CharactersWithSpaces>6268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8</cp:revision>
  <dcterms:created xsi:type="dcterms:W3CDTF">2020-08-24T07:58:00Z</dcterms:created>
  <dcterms:modified xsi:type="dcterms:W3CDTF">2021-03-04T05:56:00Z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