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67B99856" w:rsidR="00F05B35" w:rsidRPr="00D46A52" w:rsidRDefault="000428FE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46A52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2020.036P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6FD4997E" w:rsidR="00F05B35" w:rsidRPr="000428FE" w:rsidRDefault="00F05B35" w:rsidP="009623BE">
            <w:pPr>
              <w:spacing w:before="120"/>
              <w:rPr>
                <w:rFonts w:ascii="Arial" w:hAnsi="Arial" w:cs="Arial"/>
                <w:b/>
                <w:iCs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DC5B46" w:rsidRPr="00FB64A8">
              <w:rPr>
                <w:rFonts w:ascii="Arial" w:hAnsi="Arial" w:cs="Arial"/>
                <w:sz w:val="22"/>
                <w:szCs w:val="22"/>
              </w:rPr>
              <w:t xml:space="preserve">Create </w:t>
            </w:r>
            <w:r w:rsidR="000428FE">
              <w:rPr>
                <w:rFonts w:ascii="Arial" w:hAnsi="Arial" w:cs="Arial"/>
                <w:sz w:val="22"/>
                <w:szCs w:val="22"/>
              </w:rPr>
              <w:t>one</w:t>
            </w:r>
            <w:r w:rsidR="00DC5B46" w:rsidRPr="00FB64A8">
              <w:rPr>
                <w:rFonts w:ascii="Arial" w:hAnsi="Arial" w:cs="Arial"/>
                <w:sz w:val="22"/>
                <w:szCs w:val="22"/>
              </w:rPr>
              <w:t xml:space="preserve"> new species </w:t>
            </w:r>
            <w:r w:rsidR="000428FE" w:rsidRPr="000428FE">
              <w:rPr>
                <w:rFonts w:ascii="Arial" w:hAnsi="Arial" w:cs="Arial"/>
                <w:iCs/>
                <w:sz w:val="22"/>
                <w:szCs w:val="22"/>
              </w:rPr>
              <w:t xml:space="preserve">in the genus </w:t>
            </w:r>
            <w:r w:rsidR="000428FE">
              <w:rPr>
                <w:rFonts w:ascii="Arial" w:hAnsi="Arial" w:cs="Arial"/>
                <w:i/>
                <w:sz w:val="22"/>
                <w:szCs w:val="22"/>
              </w:rPr>
              <w:t>A</w:t>
            </w:r>
            <w:r w:rsidR="00DC5B46" w:rsidRPr="00FB64A8">
              <w:rPr>
                <w:rFonts w:ascii="Arial" w:hAnsi="Arial" w:cs="Arial"/>
                <w:i/>
                <w:sz w:val="22"/>
                <w:szCs w:val="22"/>
              </w:rPr>
              <w:t>ureusvirus</w:t>
            </w:r>
            <w:r w:rsidR="000428F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0428FE">
              <w:rPr>
                <w:rFonts w:ascii="Arial" w:hAnsi="Arial" w:cs="Arial"/>
                <w:iCs/>
                <w:sz w:val="22"/>
                <w:szCs w:val="22"/>
              </w:rPr>
              <w:t>(</w:t>
            </w:r>
            <w:r w:rsidR="000428FE">
              <w:rPr>
                <w:rFonts w:ascii="Arial" w:hAnsi="Arial" w:cs="Arial"/>
                <w:i/>
                <w:sz w:val="22"/>
                <w:szCs w:val="22"/>
              </w:rPr>
              <w:t>Tolivirales</w:t>
            </w:r>
            <w:r w:rsidR="000428FE">
              <w:rPr>
                <w:rFonts w:ascii="Arial" w:hAnsi="Arial" w:cs="Arial"/>
                <w:iCs/>
                <w:sz w:val="22"/>
                <w:szCs w:val="22"/>
              </w:rPr>
              <w:t xml:space="preserve">: </w:t>
            </w:r>
            <w:r w:rsidR="000428FE">
              <w:rPr>
                <w:rFonts w:ascii="Arial" w:hAnsi="Arial" w:cs="Arial"/>
                <w:i/>
                <w:sz w:val="22"/>
                <w:szCs w:val="22"/>
              </w:rPr>
              <w:t>Tombusviridae</w:t>
            </w:r>
            <w:r w:rsidR="000428FE">
              <w:rPr>
                <w:rFonts w:ascii="Arial" w:hAnsi="Arial" w:cs="Arial"/>
                <w:i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189B82C3" w14:textId="3D0869A7" w:rsidR="000428FE" w:rsidRDefault="00DC5B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Scheets</w:t>
            </w:r>
            <w:r w:rsidR="000428FE">
              <w:rPr>
                <w:rFonts w:ascii="Arial" w:hAnsi="Arial" w:cs="Arial"/>
                <w:sz w:val="22"/>
                <w:szCs w:val="22"/>
              </w:rPr>
              <w:t xml:space="preserve"> K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4CFFC2B" w14:textId="77777777" w:rsidR="000428FE" w:rsidRDefault="000428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B6B778" w14:textId="3D0E6984" w:rsidR="00F05B35" w:rsidRPr="00121243" w:rsidRDefault="000428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on behalf of the </w:t>
            </w:r>
            <w:r w:rsidR="00DC5B46" w:rsidRPr="000428FE">
              <w:rPr>
                <w:rFonts w:ascii="Arial" w:hAnsi="Arial" w:cs="Arial"/>
                <w:i/>
                <w:iCs/>
                <w:sz w:val="22"/>
                <w:szCs w:val="22"/>
              </w:rPr>
              <w:t>Tombusviridae</w:t>
            </w:r>
            <w:r w:rsidR="00DC5B46"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  <w:tc>
          <w:tcPr>
            <w:tcW w:w="4704" w:type="dxa"/>
          </w:tcPr>
          <w:p w14:paraId="1AA95142" w14:textId="43393EA7" w:rsidR="00F05B35" w:rsidRPr="00121243" w:rsidRDefault="00DC5B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kay.scheets@okstate.edu</w:t>
            </w:r>
          </w:p>
        </w:tc>
      </w:tr>
    </w:tbl>
    <w:p w14:paraId="5154E6D2" w14:textId="6FF5DE06" w:rsidR="00F05B35" w:rsidRPr="00BA0217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6B198156" w14:textId="0C05491E" w:rsidR="00F05B35" w:rsidRPr="00121243" w:rsidRDefault="00DC5B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Oklahoma State University [KS]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0704D9CB" w:rsidR="00121243" w:rsidRPr="00121243" w:rsidRDefault="00DC5B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Kay Scheets</w:t>
            </w:r>
            <w:r w:rsidR="000428FE">
              <w:rPr>
                <w:rFonts w:ascii="Arial" w:hAnsi="Arial" w:cs="Arial"/>
                <w:sz w:val="22"/>
                <w:szCs w:val="22"/>
              </w:rPr>
              <w:t xml:space="preserve"> (kay.scheets@okstate.edu)</w:t>
            </w:r>
          </w:p>
        </w:tc>
      </w:tr>
    </w:tbl>
    <w:p w14:paraId="634A6865" w14:textId="300C3E89" w:rsidR="00F05B35" w:rsidRPr="00BA0217" w:rsidRDefault="00F05B35" w:rsidP="00BA0217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57BF11C5" w:rsidR="00F05B35" w:rsidRPr="00121243" w:rsidRDefault="00DC5B46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0428FE">
              <w:rPr>
                <w:rFonts w:ascii="Arial" w:hAnsi="Arial" w:cs="Arial"/>
                <w:i/>
                <w:iCs/>
                <w:sz w:val="22"/>
                <w:szCs w:val="22"/>
              </w:rPr>
              <w:t>Tombusviridae</w:t>
            </w:r>
            <w:r w:rsidR="000428FE"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7E3B42E0" w14:textId="6C3BC950" w:rsidR="00F05B35" w:rsidRPr="00BA0217" w:rsidRDefault="00F05B35" w:rsidP="00BA0217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38FCD660" w14:textId="58198B0E" w:rsidR="00F05B35" w:rsidRPr="00121243" w:rsidRDefault="00080603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 negative responses were received</w:t>
            </w:r>
          </w:p>
        </w:tc>
      </w:tr>
    </w:tbl>
    <w:p w14:paraId="504533E8" w14:textId="21C8A471" w:rsidR="00F05B35" w:rsidRPr="00121243" w:rsidRDefault="00121243" w:rsidP="000428FE">
      <w:pPr>
        <w:spacing w:before="120" w:after="120"/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36157529" w:rsidR="00F05B35" w:rsidRPr="00121243" w:rsidRDefault="000428FE" w:rsidP="00F05B35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August 26, </w:t>
            </w:r>
            <w:r w:rsidR="00080603" w:rsidRPr="00080603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3EDAC573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287402" w14:textId="3B50822B" w:rsidR="00121243" w:rsidRDefault="00121243" w:rsidP="00F05B35"/>
    <w:p w14:paraId="775AE6FC" w14:textId="703C7ED5" w:rsidR="00237296" w:rsidRPr="00BA0217" w:rsidRDefault="00237296" w:rsidP="00BA0217">
      <w:r w:rsidRPr="004D236F">
        <w:rPr>
          <w:rFonts w:ascii="Arial" w:hAnsi="Arial" w:cs="Arial"/>
          <w:b/>
          <w:color w:val="000000"/>
        </w:rPr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3BCBC885" w:rsidR="00237296" w:rsidRPr="001011AE" w:rsidRDefault="000428FE" w:rsidP="007B184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428FE">
              <w:rPr>
                <w:rFonts w:ascii="Arial" w:hAnsi="Arial" w:cs="Arial"/>
                <w:sz w:val="22"/>
                <w:szCs w:val="22"/>
              </w:rPr>
              <w:t>2020.036P.</w:t>
            </w:r>
            <w:r w:rsidR="00FB0E8F">
              <w:rPr>
                <w:rFonts w:ascii="Arial" w:hAnsi="Arial" w:cs="Arial"/>
                <w:sz w:val="22"/>
                <w:szCs w:val="22"/>
              </w:rPr>
              <w:t>R</w:t>
            </w:r>
            <w:r w:rsidRPr="000428FE">
              <w:rPr>
                <w:rFonts w:ascii="Arial" w:hAnsi="Arial" w:cs="Arial"/>
                <w:sz w:val="22"/>
                <w:szCs w:val="22"/>
              </w:rPr>
              <w:t>.Aureusvirus_1nsp</w:t>
            </w:r>
            <w:r w:rsidR="001011AE"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</w:tr>
    </w:tbl>
    <w:p w14:paraId="4F095581" w14:textId="7E62177F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453FACCA" w:rsidR="00237296" w:rsidRPr="00DF046B" w:rsidRDefault="00DF046B" w:rsidP="00237296">
            <w:pPr>
              <w:rPr>
                <w:rFonts w:ascii="Arial" w:hAnsi="Arial" w:cs="Arial"/>
              </w:rPr>
            </w:pPr>
            <w:r w:rsidRPr="00FB64A8">
              <w:rPr>
                <w:rFonts w:ascii="Arial" w:hAnsi="Arial" w:cs="Arial"/>
                <w:sz w:val="22"/>
              </w:rPr>
              <w:t>A (+) ssRNA virus was identified that has a genome organization found in tombusviruses, aureusviruses, and zeavirus</w:t>
            </w:r>
            <w:r w:rsidR="000428FE">
              <w:rPr>
                <w:rFonts w:ascii="Arial" w:hAnsi="Arial" w:cs="Arial"/>
                <w:sz w:val="22"/>
              </w:rPr>
              <w:t>es</w:t>
            </w:r>
            <w:r w:rsidR="00C46456">
              <w:rPr>
                <w:rFonts w:ascii="Arial" w:hAnsi="Arial" w:cs="Arial"/>
                <w:sz w:val="22"/>
              </w:rPr>
              <w:t>. Sequence analyse</w:t>
            </w:r>
            <w:r w:rsidRPr="00FB64A8">
              <w:rPr>
                <w:rFonts w:ascii="Arial" w:hAnsi="Arial" w:cs="Arial"/>
                <w:sz w:val="22"/>
              </w:rPr>
              <w:t>s indicates it represents a new aureusvirus species. The GenBank entry identifies it as being a complete genome, but the 5' and 3' UTRs do not have predicted RNA structures and motifs that would indicate that these regions are correct. Therefore, we are listing this as a coding complete genome.</w:t>
            </w: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7D5C5A21" w14:textId="13E1F466" w:rsidR="00DF046B" w:rsidRPr="00295EF1" w:rsidRDefault="00DF046B" w:rsidP="00DF046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 xml:space="preserve">     A new virus, elderberry latent virus 1, which infects elderberry (</w:t>
                  </w:r>
                  <w:r w:rsidRPr="00295EF1">
                    <w:rPr>
                      <w:rFonts w:ascii="Arial" w:hAnsi="Arial" w:cs="Arial"/>
                      <w:i/>
                      <w:sz w:val="22"/>
                      <w:szCs w:val="22"/>
                    </w:rPr>
                    <w:t>Sambucus nigra</w:t>
                  </w: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 xml:space="preserve"> L.) has a (+) ssRNA genome [4]. Its genome organization and encoded proteins are most similar to homologs of recognized aureusviruses</w:t>
                  </w:r>
                  <w:r w:rsidR="00FB64A8">
                    <w:rPr>
                      <w:rFonts w:ascii="Arial" w:hAnsi="Arial" w:cs="Arial"/>
                      <w:sz w:val="22"/>
                      <w:szCs w:val="22"/>
                    </w:rPr>
                    <w:t>, while the CP and replicase are distinct enough to indicate it is a unique species (Table 1)</w:t>
                  </w: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 xml:space="preserve">. The size ranges of ELV1 encoded proteins are similar to those of recognized aureusviruses, but MG967280, which is identified as having a complete genome, is 4,512 nt, noticeably larger than the 4,293-4,464 nt genome size of current members. Additionally, the 5' and 3' UTRs are longer and do not terminate in the typical 5'AGGA- and -GGCCC3' found on aureusviruses and many other tombusvirids.  Therefore, we are indicating this is a coding-complete genome sequence. NCBI Viral Genomes currently has a coat protein sequence of a different isolate listed on the </w:t>
                  </w:r>
                  <w:r w:rsidRPr="000428FE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Tombusviridae</w:t>
                  </w: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 xml:space="preserve"> Viral Genomes page (NC_040713; MG967320), which is confusing, and Viral Genomes has been contacted to replace the CP sequence with MG967280.</w:t>
                  </w:r>
                  <w:r w:rsidR="002C6261">
                    <w:rPr>
                      <w:rFonts w:ascii="Arial" w:hAnsi="Arial" w:cs="Arial"/>
                      <w:sz w:val="22"/>
                      <w:szCs w:val="22"/>
                    </w:rPr>
                    <w:t xml:space="preserve"> Note that recombination between tombusvirids has produced specie</w:t>
                  </w:r>
                  <w:r w:rsidR="00F96F37">
                    <w:rPr>
                      <w:rFonts w:ascii="Arial" w:hAnsi="Arial" w:cs="Arial"/>
                      <w:sz w:val="22"/>
                      <w:szCs w:val="22"/>
                    </w:rPr>
                    <w:t>s such that the RdRp and CP protein</w:t>
                  </w:r>
                  <w:r w:rsidR="002C6261">
                    <w:rPr>
                      <w:rFonts w:ascii="Arial" w:hAnsi="Arial" w:cs="Arial"/>
                      <w:sz w:val="22"/>
                      <w:szCs w:val="22"/>
                    </w:rPr>
                    <w:t>s do not produce similarly branched trees (Figs.1 &amp; 2)</w:t>
                  </w:r>
                </w:p>
                <w:p w14:paraId="5AFAA1B7" w14:textId="13F5C1F4" w:rsidR="00DF046B" w:rsidRPr="00295EF1" w:rsidRDefault="00DF046B" w:rsidP="00DF046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 xml:space="preserve">     Elderberry latent virus 1 infections were either asymptomatic or showed a mild chlorotic mosaic when it was the only virus present [4]. There is no information about a vector, which would likely be a chytrid fungus. The authors indicated that host range experiments were in progress, but searches via Scopus and PubMed have not found further publications.</w:t>
                  </w:r>
                </w:p>
                <w:p w14:paraId="5C1AE1E4" w14:textId="77777777" w:rsidR="00DF046B" w:rsidRPr="00295EF1" w:rsidRDefault="00DF046B" w:rsidP="00DF046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E58BDB3" w14:textId="77777777" w:rsidR="00DF046B" w:rsidRPr="00295EF1" w:rsidRDefault="00DF046B" w:rsidP="00DF046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 xml:space="preserve">Species demarcation criteria in genus </w:t>
                  </w:r>
                  <w:r w:rsidRPr="00295EF1">
                    <w:rPr>
                      <w:rFonts w:ascii="Arial" w:hAnsi="Arial" w:cs="Arial"/>
                      <w:i/>
                      <w:sz w:val="22"/>
                      <w:szCs w:val="22"/>
                    </w:rPr>
                    <w:t>Aureusvirus</w:t>
                  </w: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 xml:space="preserve"> are shown below [5].</w:t>
                  </w:r>
                </w:p>
                <w:p w14:paraId="7D7235A5" w14:textId="77777777" w:rsidR="00DF046B" w:rsidRPr="00295EF1" w:rsidRDefault="00DF046B" w:rsidP="00DF046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>•</w:t>
                  </w: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ab/>
                    <w:t>Serological specificity (known species are serologically unrelated)</w:t>
                  </w:r>
                </w:p>
                <w:p w14:paraId="2180EEEF" w14:textId="77777777" w:rsidR="00DF046B" w:rsidRPr="00295EF1" w:rsidRDefault="00DF046B" w:rsidP="00DF046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>•</w:t>
                  </w: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ab/>
                    <w:t>Extent of sequence identity between relevant gene products</w:t>
                  </w:r>
                </w:p>
                <w:p w14:paraId="6A5B0131" w14:textId="77777777" w:rsidR="00DF046B" w:rsidRPr="00295EF1" w:rsidRDefault="00DF046B" w:rsidP="00DF046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>•</w:t>
                  </w: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ab/>
                    <w:t>Less than 60% aa sequence identity of the CP</w:t>
                  </w:r>
                </w:p>
                <w:p w14:paraId="4049A1BF" w14:textId="77777777" w:rsidR="00DF046B" w:rsidRPr="00295EF1" w:rsidRDefault="00DF046B" w:rsidP="00DF046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>•</w:t>
                  </w: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ab/>
                    <w:t>Less than 80% aa sequence identity of the polymerase</w:t>
                  </w:r>
                </w:p>
                <w:p w14:paraId="63CEFA45" w14:textId="77777777" w:rsidR="00DF046B" w:rsidRPr="00295EF1" w:rsidRDefault="00DF046B" w:rsidP="00DF046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>•</w:t>
                  </w: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ab/>
                    <w:t>Differential cytopathological features</w:t>
                  </w:r>
                </w:p>
                <w:p w14:paraId="166419C3" w14:textId="77777777" w:rsidR="00DF046B" w:rsidRPr="00295EF1" w:rsidRDefault="00DF046B" w:rsidP="00DF046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>•</w:t>
                  </w: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ab/>
                    <w:t>Transmission by a vector</w:t>
                  </w:r>
                </w:p>
                <w:p w14:paraId="193D0883" w14:textId="77777777" w:rsidR="00DF046B" w:rsidRPr="00295EF1" w:rsidRDefault="00DF046B" w:rsidP="00DF046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>•</w:t>
                  </w: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ab/>
                    <w:t>Natural host range</w:t>
                  </w:r>
                </w:p>
                <w:p w14:paraId="0A722E76" w14:textId="557C45AE" w:rsidR="00237296" w:rsidRPr="00121243" w:rsidRDefault="00DF046B" w:rsidP="00DF046B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>•</w:t>
                  </w:r>
                  <w:r w:rsidRPr="00295EF1">
                    <w:rPr>
                      <w:rFonts w:ascii="Arial" w:hAnsi="Arial" w:cs="Arial"/>
                      <w:sz w:val="22"/>
                      <w:szCs w:val="22"/>
                    </w:rPr>
                    <w:tab/>
                    <w:t>Artificial host range reactions</w:t>
                  </w: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87796F0" w14:textId="77777777" w:rsidR="000428FE" w:rsidRDefault="000428FE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E84A4A4" w14:textId="561E6E3A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E2B46FB" w14:textId="3D4F01F2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1B0A76EF" w14:textId="7B817661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9E1052F" w14:textId="7890D53B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tbl>
      <w:tblPr>
        <w:tblW w:w="6946" w:type="dxa"/>
        <w:jc w:val="center"/>
        <w:tblLayout w:type="fixed"/>
        <w:tblLook w:val="04A0" w:firstRow="1" w:lastRow="0" w:firstColumn="1" w:lastColumn="0" w:noHBand="0" w:noVBand="1"/>
      </w:tblPr>
      <w:tblGrid>
        <w:gridCol w:w="475"/>
        <w:gridCol w:w="1208"/>
        <w:gridCol w:w="852"/>
        <w:gridCol w:w="788"/>
        <w:gridCol w:w="657"/>
        <w:gridCol w:w="838"/>
        <w:gridCol w:w="1136"/>
        <w:gridCol w:w="72"/>
        <w:gridCol w:w="920"/>
      </w:tblGrid>
      <w:tr w:rsidR="000F271C" w:rsidRPr="000F271C" w14:paraId="6DCFF721" w14:textId="77777777" w:rsidTr="000428FE">
        <w:trPr>
          <w:trHeight w:val="375"/>
          <w:jc w:val="center"/>
        </w:trPr>
        <w:tc>
          <w:tcPr>
            <w:tcW w:w="69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9326B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Table 1.   Percent identities of aureusvirus RdRps and CPs</w:t>
            </w:r>
          </w:p>
        </w:tc>
      </w:tr>
      <w:tr w:rsidR="000428FE" w:rsidRPr="000F271C" w14:paraId="2D6BEA79" w14:textId="77777777" w:rsidTr="000428FE">
        <w:trPr>
          <w:trHeight w:val="105"/>
          <w:jc w:val="center"/>
        </w:trPr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89909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3C56A" w14:textId="77777777" w:rsidR="000F271C" w:rsidRPr="000F271C" w:rsidRDefault="000F271C" w:rsidP="000F27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93080" w14:textId="77777777" w:rsidR="000F271C" w:rsidRPr="000F271C" w:rsidRDefault="000F271C" w:rsidP="000F27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672CB" w14:textId="77777777" w:rsidR="000F271C" w:rsidRPr="000F271C" w:rsidRDefault="000F271C" w:rsidP="000F27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EBCD9" w14:textId="77777777" w:rsidR="000F271C" w:rsidRPr="000F271C" w:rsidRDefault="000F271C" w:rsidP="000F27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FA846" w14:textId="77777777" w:rsidR="000F271C" w:rsidRPr="000F271C" w:rsidRDefault="000F271C" w:rsidP="000F27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75E4C" w14:textId="77777777" w:rsidR="000F271C" w:rsidRPr="000F271C" w:rsidRDefault="000F271C" w:rsidP="000F27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94D6C" w14:textId="77777777" w:rsidR="000F271C" w:rsidRPr="000F271C" w:rsidRDefault="000F271C" w:rsidP="000F271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428FE" w:rsidRPr="000F271C" w14:paraId="164EA40E" w14:textId="77777777" w:rsidTr="000428FE">
        <w:trPr>
          <w:trHeight w:val="255"/>
          <w:jc w:val="center"/>
        </w:trPr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EED50" w14:textId="77777777" w:rsidR="000F271C" w:rsidRPr="000F271C" w:rsidRDefault="000F271C" w:rsidP="000F27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2E93B" w14:textId="77777777" w:rsidR="000F271C" w:rsidRPr="000F271C" w:rsidRDefault="000F271C" w:rsidP="000F27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A6E1A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 w:rsidRPr="000F271C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Coat Protein</w:t>
            </w:r>
          </w:p>
        </w:tc>
      </w:tr>
      <w:tr w:rsidR="000428FE" w:rsidRPr="000F271C" w14:paraId="18997BFB" w14:textId="77777777" w:rsidTr="000428FE">
        <w:trPr>
          <w:trHeight w:val="255"/>
          <w:jc w:val="center"/>
        </w:trPr>
        <w:tc>
          <w:tcPr>
            <w:tcW w:w="4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60EF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A557" w14:textId="77777777" w:rsidR="000F271C" w:rsidRPr="000F271C" w:rsidRDefault="000F271C" w:rsidP="000F271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2BF64" w14:textId="32E7E3C4" w:rsidR="000F271C" w:rsidRPr="000F271C" w:rsidRDefault="000F271C" w:rsidP="000F27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271C">
              <w:rPr>
                <w:rFonts w:ascii="Arial" w:hAnsi="Arial" w:cs="Arial"/>
                <w:b/>
                <w:sz w:val="22"/>
                <w:szCs w:val="22"/>
              </w:rPr>
              <w:t>ElAV</w:t>
            </w:r>
            <w:r w:rsidR="000428FE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52F6D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PoLV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9491C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YSV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668DA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CLSV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13714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MWLMV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AE9D5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JCSMV</w:t>
            </w:r>
          </w:p>
        </w:tc>
      </w:tr>
      <w:tr w:rsidR="000428FE" w:rsidRPr="000F271C" w14:paraId="2CFF9E90" w14:textId="77777777" w:rsidTr="000428FE">
        <w:trPr>
          <w:trHeight w:val="255"/>
          <w:jc w:val="center"/>
        </w:trPr>
        <w:tc>
          <w:tcPr>
            <w:tcW w:w="47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5335F95D" w14:textId="77777777" w:rsidR="000F271C" w:rsidRPr="000F271C" w:rsidRDefault="000F271C" w:rsidP="000428FE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271C">
              <w:rPr>
                <w:rFonts w:ascii="Arial" w:hAnsi="Arial" w:cs="Arial"/>
                <w:b/>
                <w:bCs/>
                <w:sz w:val="22"/>
                <w:szCs w:val="22"/>
              </w:rPr>
              <w:t>RdRp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C52EE" w14:textId="758964AB" w:rsidR="000F271C" w:rsidRPr="000F271C" w:rsidRDefault="000F271C" w:rsidP="000F271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F271C">
              <w:rPr>
                <w:rFonts w:ascii="Arial" w:hAnsi="Arial" w:cs="Arial"/>
                <w:b/>
                <w:sz w:val="22"/>
                <w:szCs w:val="22"/>
              </w:rPr>
              <w:t>ElAV</w:t>
            </w:r>
            <w:r w:rsidR="000428FE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64EBF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7F0DF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0F271C">
              <w:rPr>
                <w:rFonts w:ascii="Arial" w:hAnsi="Arial" w:cs="Arial"/>
                <w:color w:val="0000FF"/>
                <w:sz w:val="22"/>
                <w:szCs w:val="22"/>
              </w:rPr>
              <w:t>55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05BAD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0F271C">
              <w:rPr>
                <w:rFonts w:ascii="Arial" w:hAnsi="Arial" w:cs="Arial"/>
                <w:color w:val="0000FF"/>
                <w:sz w:val="22"/>
                <w:szCs w:val="22"/>
              </w:rPr>
              <w:t>41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9CC51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0F271C">
              <w:rPr>
                <w:rFonts w:ascii="Arial" w:hAnsi="Arial" w:cs="Arial"/>
                <w:color w:val="0000FF"/>
                <w:sz w:val="22"/>
                <w:szCs w:val="22"/>
              </w:rPr>
              <w:t>36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042C6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0F271C">
              <w:rPr>
                <w:rFonts w:ascii="Arial" w:hAnsi="Arial" w:cs="Arial"/>
                <w:color w:val="0000FF"/>
                <w:sz w:val="22"/>
                <w:szCs w:val="22"/>
              </w:rPr>
              <w:t>41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8FCE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0F271C">
              <w:rPr>
                <w:rFonts w:ascii="Arial" w:hAnsi="Arial" w:cs="Arial"/>
                <w:color w:val="0000FF"/>
                <w:sz w:val="22"/>
                <w:szCs w:val="22"/>
              </w:rPr>
              <w:t>39</w:t>
            </w:r>
          </w:p>
        </w:tc>
      </w:tr>
      <w:tr w:rsidR="000428FE" w:rsidRPr="000F271C" w14:paraId="0EF2D069" w14:textId="77777777" w:rsidTr="000428FE">
        <w:trPr>
          <w:trHeight w:val="255"/>
          <w:jc w:val="center"/>
        </w:trPr>
        <w:tc>
          <w:tcPr>
            <w:tcW w:w="47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72D426" w14:textId="77777777" w:rsidR="000F271C" w:rsidRPr="000F271C" w:rsidRDefault="000F271C" w:rsidP="000F27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1ADD8" w14:textId="77777777" w:rsidR="000F271C" w:rsidRPr="000F271C" w:rsidRDefault="000F271C" w:rsidP="000F271C">
            <w:pPr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PoLV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6EA7F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ED85D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F3F00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0F271C">
              <w:rPr>
                <w:rFonts w:ascii="Arial" w:hAnsi="Arial" w:cs="Arial"/>
                <w:color w:val="0000FF"/>
                <w:sz w:val="22"/>
                <w:szCs w:val="22"/>
              </w:rPr>
              <w:t>43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0CD53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0F271C">
              <w:rPr>
                <w:rFonts w:ascii="Arial" w:hAnsi="Arial" w:cs="Arial"/>
                <w:color w:val="0000FF"/>
                <w:sz w:val="22"/>
                <w:szCs w:val="22"/>
              </w:rPr>
              <w:t>37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1B954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0F271C">
              <w:rPr>
                <w:rFonts w:ascii="Arial" w:hAnsi="Arial" w:cs="Arial"/>
                <w:color w:val="0000FF"/>
                <w:sz w:val="22"/>
                <w:szCs w:val="22"/>
              </w:rPr>
              <w:t>43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F8CA0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0F271C">
              <w:rPr>
                <w:rFonts w:ascii="Arial" w:hAnsi="Arial" w:cs="Arial"/>
                <w:color w:val="0000FF"/>
                <w:sz w:val="22"/>
                <w:szCs w:val="22"/>
              </w:rPr>
              <w:t>39</w:t>
            </w:r>
          </w:p>
        </w:tc>
      </w:tr>
      <w:tr w:rsidR="000428FE" w:rsidRPr="000F271C" w14:paraId="41BAC222" w14:textId="77777777" w:rsidTr="000428FE">
        <w:trPr>
          <w:trHeight w:val="255"/>
          <w:jc w:val="center"/>
        </w:trPr>
        <w:tc>
          <w:tcPr>
            <w:tcW w:w="47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321068" w14:textId="77777777" w:rsidR="000F271C" w:rsidRPr="000F271C" w:rsidRDefault="000F271C" w:rsidP="000F27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2B77" w14:textId="77777777" w:rsidR="000F271C" w:rsidRPr="000F271C" w:rsidRDefault="000F271C" w:rsidP="000F271C">
            <w:pPr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YSV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C4B38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E9F20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79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B6B2A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AEA3F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0F271C">
              <w:rPr>
                <w:rFonts w:ascii="Arial" w:hAnsi="Arial" w:cs="Arial"/>
                <w:color w:val="0000FF"/>
                <w:sz w:val="22"/>
                <w:szCs w:val="22"/>
              </w:rPr>
              <w:t>33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9515E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0F271C">
              <w:rPr>
                <w:rFonts w:ascii="Arial" w:hAnsi="Arial" w:cs="Arial"/>
                <w:color w:val="0000FF"/>
                <w:sz w:val="22"/>
                <w:szCs w:val="22"/>
              </w:rPr>
              <w:t>32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38539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0F271C">
              <w:rPr>
                <w:rFonts w:ascii="Arial" w:hAnsi="Arial" w:cs="Arial"/>
                <w:color w:val="0000FF"/>
                <w:sz w:val="22"/>
                <w:szCs w:val="22"/>
              </w:rPr>
              <w:t>47</w:t>
            </w:r>
          </w:p>
        </w:tc>
      </w:tr>
      <w:tr w:rsidR="000428FE" w:rsidRPr="000F271C" w14:paraId="4C5649E7" w14:textId="77777777" w:rsidTr="000428FE">
        <w:trPr>
          <w:trHeight w:val="255"/>
          <w:jc w:val="center"/>
        </w:trPr>
        <w:tc>
          <w:tcPr>
            <w:tcW w:w="47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B677CE" w14:textId="77777777" w:rsidR="000F271C" w:rsidRPr="000F271C" w:rsidRDefault="000F271C" w:rsidP="000F27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EF16D" w14:textId="77777777" w:rsidR="000F271C" w:rsidRPr="000F271C" w:rsidRDefault="000F271C" w:rsidP="000F271C">
            <w:pPr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CLSV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0C966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B2FFC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CBFE5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86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A9CDD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0C0F9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0F271C">
              <w:rPr>
                <w:rFonts w:ascii="Arial" w:hAnsi="Arial" w:cs="Arial"/>
                <w:color w:val="0000FF"/>
                <w:sz w:val="22"/>
                <w:szCs w:val="22"/>
              </w:rPr>
              <w:t>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7DF81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0F271C">
              <w:rPr>
                <w:rFonts w:ascii="Arial" w:hAnsi="Arial" w:cs="Arial"/>
                <w:color w:val="0000FF"/>
                <w:sz w:val="22"/>
                <w:szCs w:val="22"/>
              </w:rPr>
              <w:t>38</w:t>
            </w:r>
          </w:p>
        </w:tc>
      </w:tr>
      <w:tr w:rsidR="000428FE" w:rsidRPr="000F271C" w14:paraId="6112C753" w14:textId="77777777" w:rsidTr="000428FE">
        <w:trPr>
          <w:trHeight w:val="255"/>
          <w:jc w:val="center"/>
        </w:trPr>
        <w:tc>
          <w:tcPr>
            <w:tcW w:w="47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5E0E4B" w14:textId="77777777" w:rsidR="000F271C" w:rsidRPr="000F271C" w:rsidRDefault="000F271C" w:rsidP="000F27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11E3" w14:textId="77777777" w:rsidR="000F271C" w:rsidRPr="000F271C" w:rsidRDefault="000F271C" w:rsidP="000F271C">
            <w:pPr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MWLMV</w:t>
            </w:r>
          </w:p>
        </w:tc>
        <w:tc>
          <w:tcPr>
            <w:tcW w:w="8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6059C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7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20AD6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6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6936D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8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294CA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2DB35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04137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0F271C">
              <w:rPr>
                <w:rFonts w:ascii="Arial" w:hAnsi="Arial" w:cs="Arial"/>
                <w:color w:val="0000FF"/>
                <w:sz w:val="22"/>
                <w:szCs w:val="22"/>
              </w:rPr>
              <w:t>38</w:t>
            </w:r>
          </w:p>
        </w:tc>
      </w:tr>
      <w:tr w:rsidR="000428FE" w:rsidRPr="000F271C" w14:paraId="7081E8D7" w14:textId="77777777" w:rsidTr="000428FE">
        <w:trPr>
          <w:trHeight w:val="255"/>
          <w:jc w:val="center"/>
        </w:trPr>
        <w:tc>
          <w:tcPr>
            <w:tcW w:w="47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75AE05" w14:textId="77777777" w:rsidR="000F271C" w:rsidRPr="000F271C" w:rsidRDefault="000F271C" w:rsidP="000F271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1BAC0" w14:textId="77777777" w:rsidR="000F271C" w:rsidRPr="000F271C" w:rsidRDefault="000F271C" w:rsidP="000F271C">
            <w:pPr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JCSMV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8635C8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CA3848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DE2150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0B6FA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688883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49CE72" w14:textId="77777777" w:rsidR="000F271C" w:rsidRPr="000F271C" w:rsidRDefault="000F271C" w:rsidP="000F27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271C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</w:tbl>
    <w:p w14:paraId="6ED1FA0F" w14:textId="77777777" w:rsidR="000F271C" w:rsidRDefault="000F271C" w:rsidP="007B1846">
      <w:pPr>
        <w:spacing w:before="120" w:after="120"/>
        <w:rPr>
          <w:rFonts w:ascii="Arial" w:hAnsi="Arial" w:cs="Arial"/>
          <w:b/>
        </w:rPr>
      </w:pPr>
    </w:p>
    <w:p w14:paraId="3D293714" w14:textId="2298FF48" w:rsidR="000F271C" w:rsidRDefault="007638CE" w:rsidP="007B1846">
      <w:pPr>
        <w:spacing w:before="120" w:after="120"/>
        <w:rPr>
          <w:rFonts w:ascii="Arial" w:hAnsi="Arial" w:cs="Arial"/>
          <w:b/>
        </w:rPr>
      </w:pPr>
      <w:r w:rsidRPr="007638CE">
        <w:rPr>
          <w:noProof/>
        </w:rPr>
        <w:lastRenderedPageBreak/>
        <w:drawing>
          <wp:inline distT="0" distB="0" distL="0" distR="0" wp14:anchorId="06C21B1C" wp14:editId="62C10992">
            <wp:extent cx="5476875" cy="77819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778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DD627" w14:textId="1A8D7DF2" w:rsidR="00FB64A8" w:rsidRDefault="00FB64A8" w:rsidP="007B1846">
      <w:pPr>
        <w:spacing w:before="120" w:after="120"/>
        <w:rPr>
          <w:rFonts w:ascii="Arial" w:hAnsi="Arial" w:cs="Arial"/>
          <w:b/>
        </w:rPr>
      </w:pPr>
    </w:p>
    <w:p w14:paraId="4125766B" w14:textId="09A5FD0F" w:rsidR="007638CE" w:rsidRDefault="007638C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F9A455F" w14:textId="77777777" w:rsidR="00D75EFB" w:rsidRDefault="00F96F37" w:rsidP="007B1846">
      <w:pPr>
        <w:spacing w:before="120" w:after="120"/>
        <w:rPr>
          <w:rFonts w:ascii="Arial" w:hAnsi="Arial" w:cs="Arial"/>
          <w:b/>
        </w:rPr>
      </w:pPr>
      <w:r w:rsidRPr="00F96F37">
        <w:rPr>
          <w:noProof/>
        </w:rPr>
        <w:lastRenderedPageBreak/>
        <w:drawing>
          <wp:inline distT="0" distB="0" distL="0" distR="0" wp14:anchorId="09FE7BB4" wp14:editId="461F2CF0">
            <wp:extent cx="5475605" cy="7963535"/>
            <wp:effectExtent l="0" t="0" r="0" b="0"/>
            <wp:docPr id="279" name="Picture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605" cy="796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2FC2A" w14:textId="77777777" w:rsidR="00D75EFB" w:rsidRDefault="00D75EF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84DF11A" w14:textId="5C64385C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lastRenderedPageBreak/>
        <w:t>References</w:t>
      </w:r>
    </w:p>
    <w:p w14:paraId="28904666" w14:textId="437DFEF2" w:rsidR="00B81EB4" w:rsidRPr="00B81EB4" w:rsidRDefault="00B81EB4" w:rsidP="00B81EB4">
      <w:pPr>
        <w:ind w:left="450" w:hanging="450"/>
        <w:rPr>
          <w:rFonts w:ascii="Calibri" w:eastAsia="Calibri" w:hAnsi="Calibri"/>
          <w:sz w:val="22"/>
          <w:szCs w:val="22"/>
        </w:rPr>
      </w:pPr>
      <w:r w:rsidRPr="00B81EB4">
        <w:rPr>
          <w:rFonts w:ascii="Calibri" w:eastAsia="Calibri" w:hAnsi="Calibri"/>
          <w:sz w:val="22"/>
          <w:szCs w:val="22"/>
        </w:rPr>
        <w:t>1.</w:t>
      </w:r>
      <w:r w:rsidRPr="00B81EB4">
        <w:rPr>
          <w:rFonts w:ascii="Calibri" w:eastAsia="Calibri" w:hAnsi="Calibri"/>
          <w:sz w:val="22"/>
          <w:szCs w:val="22"/>
        </w:rPr>
        <w:tab/>
        <w:t>Edgar RC (2004) MUSCLE: a multiple sequence alignment method with reduced time and space complexity. BMC Bioinf 5:113.  PMC 517706 DOI:10.1186/1471-2105-5-113</w:t>
      </w:r>
    </w:p>
    <w:p w14:paraId="41E97B2A" w14:textId="53AA7031" w:rsidR="00B81EB4" w:rsidRPr="00B81EB4" w:rsidRDefault="00B81EB4" w:rsidP="00B81EB4">
      <w:pPr>
        <w:ind w:left="450" w:hanging="450"/>
        <w:rPr>
          <w:rFonts w:ascii="Calibri" w:eastAsia="Calibri" w:hAnsi="Calibri"/>
          <w:sz w:val="22"/>
          <w:szCs w:val="22"/>
        </w:rPr>
      </w:pPr>
      <w:r w:rsidRPr="00B81EB4">
        <w:rPr>
          <w:rFonts w:ascii="Calibri" w:eastAsia="Calibri" w:hAnsi="Calibri"/>
          <w:sz w:val="22"/>
          <w:szCs w:val="22"/>
        </w:rPr>
        <w:t>2.</w:t>
      </w:r>
      <w:r w:rsidRPr="00B81EB4">
        <w:rPr>
          <w:rFonts w:ascii="Calibri" w:eastAsia="Calibri" w:hAnsi="Calibri"/>
          <w:sz w:val="22"/>
          <w:szCs w:val="22"/>
        </w:rPr>
        <w:tab/>
        <w:t>Edgar RC (2004) MUSCLE: multiple sequence alignment with high accuracy and high throughput. Nucleic Acids Res 32:1792-1797. PMC 390337 DOI: 10.1093/nar/gkh340</w:t>
      </w:r>
    </w:p>
    <w:p w14:paraId="3526D85E" w14:textId="14DE780F" w:rsidR="00B81EB4" w:rsidRPr="00B81EB4" w:rsidRDefault="00B81EB4" w:rsidP="00B81EB4">
      <w:pPr>
        <w:ind w:left="450" w:hanging="450"/>
        <w:rPr>
          <w:rFonts w:ascii="Calibri" w:eastAsia="Calibri" w:hAnsi="Calibri"/>
          <w:sz w:val="22"/>
          <w:szCs w:val="22"/>
        </w:rPr>
      </w:pPr>
      <w:r w:rsidRPr="00B81EB4">
        <w:rPr>
          <w:rFonts w:ascii="Calibri" w:eastAsia="Calibri" w:hAnsi="Calibri"/>
          <w:sz w:val="22"/>
          <w:szCs w:val="22"/>
        </w:rPr>
        <w:t>3.</w:t>
      </w:r>
      <w:r w:rsidRPr="00B81EB4">
        <w:rPr>
          <w:rFonts w:ascii="Calibri" w:eastAsia="Calibri" w:hAnsi="Calibri"/>
          <w:sz w:val="22"/>
          <w:szCs w:val="22"/>
        </w:rPr>
        <w:tab/>
        <w:t xml:space="preserve">Kumar S, Stecher G, Tamura K (2016) MEGA7: Molecular Evolutionary Genetics Analysis Version 7.0 for </w:t>
      </w:r>
      <w:r w:rsidR="005722D7">
        <w:rPr>
          <w:rFonts w:ascii="Calibri" w:eastAsia="Calibri" w:hAnsi="Calibri"/>
          <w:sz w:val="22"/>
          <w:szCs w:val="22"/>
        </w:rPr>
        <w:t>b</w:t>
      </w:r>
      <w:r w:rsidRPr="00B81EB4">
        <w:rPr>
          <w:rFonts w:ascii="Calibri" w:eastAsia="Calibri" w:hAnsi="Calibri"/>
          <w:sz w:val="22"/>
          <w:szCs w:val="22"/>
        </w:rPr>
        <w:t xml:space="preserve">igger </w:t>
      </w:r>
      <w:r w:rsidR="005722D7">
        <w:rPr>
          <w:rFonts w:ascii="Calibri" w:eastAsia="Calibri" w:hAnsi="Calibri"/>
          <w:sz w:val="22"/>
          <w:szCs w:val="22"/>
        </w:rPr>
        <w:t>d</w:t>
      </w:r>
      <w:r w:rsidRPr="00B81EB4">
        <w:rPr>
          <w:rFonts w:ascii="Calibri" w:eastAsia="Calibri" w:hAnsi="Calibri"/>
          <w:sz w:val="22"/>
          <w:szCs w:val="22"/>
        </w:rPr>
        <w:t>atasets. Mol Biol Evol 33:1870-1874</w:t>
      </w:r>
      <w:r w:rsidR="005722D7">
        <w:rPr>
          <w:rFonts w:ascii="Calibri" w:eastAsia="Calibri" w:hAnsi="Calibri"/>
          <w:sz w:val="22"/>
          <w:szCs w:val="22"/>
        </w:rPr>
        <w:t>.</w:t>
      </w:r>
      <w:r w:rsidRPr="00B81EB4">
        <w:rPr>
          <w:rFonts w:ascii="Calibri" w:eastAsia="Calibri" w:hAnsi="Calibri"/>
          <w:sz w:val="22"/>
          <w:szCs w:val="22"/>
        </w:rPr>
        <w:t xml:space="preserve"> </w:t>
      </w:r>
      <w:r w:rsidR="005722D7" w:rsidRPr="00702B73">
        <w:rPr>
          <w:rFonts w:asciiTheme="minorHAnsi" w:hAnsiTheme="minorHAnsi" w:cstheme="minorHAnsi"/>
          <w:sz w:val="22"/>
          <w:szCs w:val="22"/>
        </w:rPr>
        <w:t>PMID: 27004904</w:t>
      </w:r>
      <w:r w:rsidR="005722D7">
        <w:rPr>
          <w:rFonts w:asciiTheme="minorHAnsi" w:hAnsiTheme="minorHAnsi" w:cstheme="minorHAnsi"/>
          <w:sz w:val="22"/>
          <w:szCs w:val="22"/>
        </w:rPr>
        <w:t xml:space="preserve"> </w:t>
      </w:r>
      <w:r w:rsidRPr="00B81EB4">
        <w:rPr>
          <w:rFonts w:ascii="Calibri" w:eastAsia="Calibri" w:hAnsi="Calibri"/>
          <w:sz w:val="22"/>
          <w:szCs w:val="22"/>
        </w:rPr>
        <w:t>DOI:10.1093/molbev/msw054.</w:t>
      </w:r>
    </w:p>
    <w:p w14:paraId="2E476D62" w14:textId="6F211085" w:rsidR="00B81EB4" w:rsidRPr="00B81EB4" w:rsidRDefault="00B81EB4" w:rsidP="00B81EB4">
      <w:pPr>
        <w:ind w:left="450" w:hanging="450"/>
        <w:rPr>
          <w:rFonts w:ascii="Calibri" w:eastAsia="Calibri" w:hAnsi="Calibri"/>
          <w:sz w:val="22"/>
          <w:szCs w:val="22"/>
        </w:rPr>
      </w:pPr>
      <w:r w:rsidRPr="00B81EB4">
        <w:rPr>
          <w:rFonts w:ascii="Calibri" w:eastAsia="Calibri" w:hAnsi="Calibri"/>
          <w:sz w:val="22"/>
          <w:szCs w:val="22"/>
        </w:rPr>
        <w:t>4.</w:t>
      </w:r>
      <w:r w:rsidRPr="00B81EB4">
        <w:rPr>
          <w:rFonts w:ascii="Calibri" w:eastAsia="Calibri" w:hAnsi="Calibri"/>
          <w:sz w:val="22"/>
          <w:szCs w:val="22"/>
        </w:rPr>
        <w:tab/>
        <w:t>Safarova D, Vavrouskova K, Candresse T, Navratil M (2018) Molecul</w:t>
      </w:r>
      <w:r w:rsidR="00C168D5">
        <w:rPr>
          <w:rFonts w:ascii="Calibri" w:eastAsia="Calibri" w:hAnsi="Calibri"/>
          <w:sz w:val="22"/>
          <w:szCs w:val="22"/>
        </w:rPr>
        <w:t>ar characterization of a novel a</w:t>
      </w:r>
      <w:r w:rsidRPr="00B81EB4">
        <w:rPr>
          <w:rFonts w:ascii="Calibri" w:eastAsia="Calibri" w:hAnsi="Calibri"/>
          <w:sz w:val="22"/>
          <w:szCs w:val="22"/>
        </w:rPr>
        <w:t>ureusvirus infecting elderberry (</w:t>
      </w:r>
      <w:r w:rsidRPr="00B81EB4">
        <w:rPr>
          <w:rFonts w:ascii="Calibri" w:eastAsia="Calibri" w:hAnsi="Calibri"/>
          <w:i/>
          <w:sz w:val="22"/>
          <w:szCs w:val="22"/>
        </w:rPr>
        <w:t>Sambucus nigra</w:t>
      </w:r>
      <w:r w:rsidRPr="00B81EB4">
        <w:rPr>
          <w:rFonts w:ascii="Calibri" w:eastAsia="Calibri" w:hAnsi="Calibri"/>
          <w:sz w:val="22"/>
          <w:szCs w:val="22"/>
        </w:rPr>
        <w:t xml:space="preserve"> L.). PLoS One 13:e0200506. </w:t>
      </w:r>
      <w:r w:rsidR="005722D7" w:rsidRPr="005722D7">
        <w:rPr>
          <w:rFonts w:ascii="Calibri" w:eastAsia="Calibri" w:hAnsi="Calibri"/>
          <w:sz w:val="22"/>
          <w:szCs w:val="22"/>
        </w:rPr>
        <w:t>PMID: 30114234</w:t>
      </w:r>
      <w:r w:rsidR="005722D7">
        <w:rPr>
          <w:rFonts w:ascii="Calibri" w:eastAsia="Calibri" w:hAnsi="Calibri"/>
          <w:sz w:val="22"/>
          <w:szCs w:val="22"/>
        </w:rPr>
        <w:t xml:space="preserve">  </w:t>
      </w:r>
      <w:r w:rsidRPr="00B81EB4">
        <w:rPr>
          <w:rFonts w:ascii="Calibri" w:eastAsia="Calibri" w:hAnsi="Calibri"/>
          <w:sz w:val="22"/>
          <w:szCs w:val="22"/>
        </w:rPr>
        <w:t>DOI: 10.1371/journal.pone.0200506</w:t>
      </w:r>
    </w:p>
    <w:p w14:paraId="6E3BC3A5" w14:textId="6D8DD77D" w:rsidR="00B81EB4" w:rsidRPr="00B81EB4" w:rsidRDefault="00B81EB4" w:rsidP="00B81EB4">
      <w:pPr>
        <w:ind w:left="450" w:hanging="450"/>
        <w:rPr>
          <w:rFonts w:ascii="Calibri" w:eastAsia="Calibri" w:hAnsi="Calibri"/>
          <w:sz w:val="22"/>
          <w:szCs w:val="22"/>
        </w:rPr>
      </w:pPr>
      <w:r w:rsidRPr="00B81EB4">
        <w:rPr>
          <w:rFonts w:ascii="Calibri" w:eastAsia="Calibri" w:hAnsi="Calibri"/>
          <w:sz w:val="22"/>
          <w:szCs w:val="22"/>
        </w:rPr>
        <w:t>5.</w:t>
      </w:r>
      <w:r w:rsidRPr="00B81EB4">
        <w:rPr>
          <w:rFonts w:ascii="Calibri" w:eastAsia="Calibri" w:hAnsi="Calibri"/>
          <w:sz w:val="22"/>
          <w:szCs w:val="22"/>
        </w:rPr>
        <w:tab/>
        <w:t xml:space="preserve">Scheets K, Rochon D'A. (2015) Create species in genus </w:t>
      </w:r>
      <w:r w:rsidRPr="00B81EB4">
        <w:rPr>
          <w:rFonts w:ascii="Calibri" w:eastAsia="Calibri" w:hAnsi="Calibri"/>
          <w:i/>
          <w:sz w:val="22"/>
          <w:szCs w:val="22"/>
        </w:rPr>
        <w:t>Aureusvirus</w:t>
      </w:r>
      <w:r w:rsidRPr="00B81EB4">
        <w:rPr>
          <w:rFonts w:ascii="Calibri" w:eastAsia="Calibri" w:hAnsi="Calibri"/>
          <w:sz w:val="22"/>
          <w:szCs w:val="22"/>
        </w:rPr>
        <w:t xml:space="preserve">, family </w:t>
      </w:r>
      <w:r w:rsidRPr="00B81EB4">
        <w:rPr>
          <w:rFonts w:ascii="Calibri" w:eastAsia="Calibri" w:hAnsi="Calibri"/>
          <w:i/>
          <w:sz w:val="22"/>
          <w:szCs w:val="22"/>
        </w:rPr>
        <w:t>Tombusviridae</w:t>
      </w:r>
      <w:r w:rsidRPr="00B81EB4">
        <w:rPr>
          <w:rFonts w:ascii="Calibri" w:eastAsia="Calibri" w:hAnsi="Calibri"/>
          <w:sz w:val="22"/>
          <w:szCs w:val="22"/>
        </w:rPr>
        <w:t xml:space="preserve">: </w:t>
      </w:r>
      <w:r w:rsidRPr="00B81EB4">
        <w:rPr>
          <w:rFonts w:ascii="Calibri" w:eastAsia="Calibri" w:hAnsi="Calibri"/>
          <w:i/>
          <w:sz w:val="22"/>
          <w:szCs w:val="22"/>
        </w:rPr>
        <w:t>Yam spherical virus</w:t>
      </w:r>
      <w:r w:rsidRPr="00B81EB4">
        <w:rPr>
          <w:rFonts w:ascii="Calibri" w:eastAsia="Calibri" w:hAnsi="Calibri"/>
          <w:sz w:val="22"/>
          <w:szCs w:val="22"/>
        </w:rPr>
        <w:t>. 2015.008aP.A.v1.Aureusvirus_sp YSV. http://www.ictvonline.org/proposals-15/2015.008aP.A.v1.Aureusvirus_sp.pdf.</w:t>
      </w:r>
    </w:p>
    <w:p w14:paraId="05CD7A25" w14:textId="6283A8D3" w:rsidR="00B81EB4" w:rsidRPr="00B81EB4" w:rsidRDefault="00B81EB4" w:rsidP="00B81EB4">
      <w:pPr>
        <w:ind w:left="450" w:hanging="450"/>
        <w:rPr>
          <w:rFonts w:ascii="Calibri" w:eastAsia="Calibri" w:hAnsi="Calibri"/>
          <w:sz w:val="22"/>
          <w:szCs w:val="22"/>
        </w:rPr>
      </w:pPr>
      <w:r w:rsidRPr="00B81EB4">
        <w:rPr>
          <w:rFonts w:ascii="Calibri" w:eastAsia="Calibri" w:hAnsi="Calibri"/>
          <w:sz w:val="22"/>
          <w:szCs w:val="22"/>
        </w:rPr>
        <w:t>6.</w:t>
      </w:r>
      <w:r w:rsidRPr="00B81EB4">
        <w:rPr>
          <w:rFonts w:ascii="Calibri" w:eastAsia="Calibri" w:hAnsi="Calibri"/>
          <w:sz w:val="22"/>
          <w:szCs w:val="22"/>
        </w:rPr>
        <w:tab/>
        <w:t>Tam AW, Smith MM, Guerra ME, Huang CC, Bradley DW, Fry KE, Reyes GR (1991) Hepatitis E virus (HEV): molecular cloning and sequencing of the full-length viral genome. Virology 185:120-131</w:t>
      </w:r>
      <w:r w:rsidR="005722D7">
        <w:rPr>
          <w:rFonts w:ascii="Calibri" w:eastAsia="Calibri" w:hAnsi="Calibri"/>
          <w:sz w:val="22"/>
          <w:szCs w:val="22"/>
        </w:rPr>
        <w:t>.</w:t>
      </w:r>
      <w:r w:rsidRPr="00B81EB4">
        <w:rPr>
          <w:rFonts w:ascii="Calibri" w:eastAsia="Calibri" w:hAnsi="Calibri"/>
          <w:sz w:val="22"/>
          <w:szCs w:val="22"/>
        </w:rPr>
        <w:t xml:space="preserve">  PMID: 1926770  DOI: 10.1016/0042-6822(91)90760-9</w:t>
      </w:r>
    </w:p>
    <w:p w14:paraId="30132155" w14:textId="4D85FEE4" w:rsidR="00237296" w:rsidRPr="00121243" w:rsidRDefault="00237296" w:rsidP="00B81EB4">
      <w:pPr>
        <w:rPr>
          <w:rFonts w:ascii="Arial" w:hAnsi="Arial" w:cs="Arial"/>
          <w:b/>
          <w:sz w:val="22"/>
          <w:szCs w:val="22"/>
        </w:rPr>
      </w:pPr>
    </w:p>
    <w:sectPr w:rsidR="00237296" w:rsidRPr="00121243" w:rsidSect="00584D75">
      <w:head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59DEE8" w14:textId="77777777" w:rsidR="004C0B73" w:rsidRDefault="004C0B73" w:rsidP="004609D1">
      <w:r>
        <w:separator/>
      </w:r>
    </w:p>
  </w:endnote>
  <w:endnote w:type="continuationSeparator" w:id="0">
    <w:p w14:paraId="7A5DFE63" w14:textId="77777777" w:rsidR="004C0B73" w:rsidRDefault="004C0B73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DF32DC" w14:textId="77777777" w:rsidR="004C0B73" w:rsidRDefault="004C0B73" w:rsidP="004609D1">
      <w:r>
        <w:separator/>
      </w:r>
    </w:p>
  </w:footnote>
  <w:footnote w:type="continuationSeparator" w:id="0">
    <w:p w14:paraId="4A72662B" w14:textId="77777777" w:rsidR="004C0B73" w:rsidRDefault="004C0B73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35"/>
    <w:rsid w:val="0000363F"/>
    <w:rsid w:val="00035181"/>
    <w:rsid w:val="00041A6A"/>
    <w:rsid w:val="000428FE"/>
    <w:rsid w:val="0006407D"/>
    <w:rsid w:val="00074276"/>
    <w:rsid w:val="00080603"/>
    <w:rsid w:val="000834F4"/>
    <w:rsid w:val="000945FD"/>
    <w:rsid w:val="000A22DE"/>
    <w:rsid w:val="000A6152"/>
    <w:rsid w:val="000A7D02"/>
    <w:rsid w:val="000B2475"/>
    <w:rsid w:val="000B5CE2"/>
    <w:rsid w:val="000C7139"/>
    <w:rsid w:val="000D090E"/>
    <w:rsid w:val="000D3CCD"/>
    <w:rsid w:val="000E69E9"/>
    <w:rsid w:val="000F271C"/>
    <w:rsid w:val="000F27A6"/>
    <w:rsid w:val="001011AE"/>
    <w:rsid w:val="00121243"/>
    <w:rsid w:val="00122AF9"/>
    <w:rsid w:val="00123B8F"/>
    <w:rsid w:val="00132568"/>
    <w:rsid w:val="0017440B"/>
    <w:rsid w:val="00194C7B"/>
    <w:rsid w:val="001A2500"/>
    <w:rsid w:val="001C1BF5"/>
    <w:rsid w:val="001D3F64"/>
    <w:rsid w:val="001D4AAF"/>
    <w:rsid w:val="001E36C8"/>
    <w:rsid w:val="001E6D21"/>
    <w:rsid w:val="002133FC"/>
    <w:rsid w:val="00215F51"/>
    <w:rsid w:val="00237296"/>
    <w:rsid w:val="00262EDD"/>
    <w:rsid w:val="00286FE5"/>
    <w:rsid w:val="00295EF1"/>
    <w:rsid w:val="00296A03"/>
    <w:rsid w:val="002A43A2"/>
    <w:rsid w:val="002B0EBC"/>
    <w:rsid w:val="002C03EF"/>
    <w:rsid w:val="002C6261"/>
    <w:rsid w:val="002D55C6"/>
    <w:rsid w:val="002F2194"/>
    <w:rsid w:val="002F51EA"/>
    <w:rsid w:val="002F53BA"/>
    <w:rsid w:val="002F6249"/>
    <w:rsid w:val="003030E4"/>
    <w:rsid w:val="003263A5"/>
    <w:rsid w:val="00327677"/>
    <w:rsid w:val="00331BAE"/>
    <w:rsid w:val="00350BFB"/>
    <w:rsid w:val="00351D0D"/>
    <w:rsid w:val="0035571D"/>
    <w:rsid w:val="00360C13"/>
    <w:rsid w:val="00365B9B"/>
    <w:rsid w:val="00380B0D"/>
    <w:rsid w:val="003C01E0"/>
    <w:rsid w:val="003F3772"/>
    <w:rsid w:val="003F4FFD"/>
    <w:rsid w:val="00404760"/>
    <w:rsid w:val="00412944"/>
    <w:rsid w:val="0042253D"/>
    <w:rsid w:val="004304FF"/>
    <w:rsid w:val="00445D41"/>
    <w:rsid w:val="004609D1"/>
    <w:rsid w:val="00487393"/>
    <w:rsid w:val="004A4902"/>
    <w:rsid w:val="004C0B73"/>
    <w:rsid w:val="004D711E"/>
    <w:rsid w:val="004E4914"/>
    <w:rsid w:val="004F5E21"/>
    <w:rsid w:val="00554817"/>
    <w:rsid w:val="00556D4B"/>
    <w:rsid w:val="005722D7"/>
    <w:rsid w:val="00583286"/>
    <w:rsid w:val="00584D75"/>
    <w:rsid w:val="005A465C"/>
    <w:rsid w:val="005A697E"/>
    <w:rsid w:val="005C1A55"/>
    <w:rsid w:val="005D5C6E"/>
    <w:rsid w:val="00604988"/>
    <w:rsid w:val="00610D3A"/>
    <w:rsid w:val="00610F11"/>
    <w:rsid w:val="006164B4"/>
    <w:rsid w:val="0063589C"/>
    <w:rsid w:val="0064037B"/>
    <w:rsid w:val="006550ED"/>
    <w:rsid w:val="00670B2E"/>
    <w:rsid w:val="00696D9C"/>
    <w:rsid w:val="006B664E"/>
    <w:rsid w:val="006B6877"/>
    <w:rsid w:val="006C6960"/>
    <w:rsid w:val="006D2B31"/>
    <w:rsid w:val="00733714"/>
    <w:rsid w:val="00743C98"/>
    <w:rsid w:val="00750B77"/>
    <w:rsid w:val="007547EA"/>
    <w:rsid w:val="007611D2"/>
    <w:rsid w:val="007638CE"/>
    <w:rsid w:val="00765614"/>
    <w:rsid w:val="00772C91"/>
    <w:rsid w:val="007843C5"/>
    <w:rsid w:val="00786E0E"/>
    <w:rsid w:val="00793391"/>
    <w:rsid w:val="007A7DFF"/>
    <w:rsid w:val="007B1846"/>
    <w:rsid w:val="007B24DA"/>
    <w:rsid w:val="007B34A8"/>
    <w:rsid w:val="007E56F2"/>
    <w:rsid w:val="007E6581"/>
    <w:rsid w:val="0081653F"/>
    <w:rsid w:val="0082104E"/>
    <w:rsid w:val="00824222"/>
    <w:rsid w:val="00830673"/>
    <w:rsid w:val="00853539"/>
    <w:rsid w:val="00857A32"/>
    <w:rsid w:val="008831E4"/>
    <w:rsid w:val="00883B83"/>
    <w:rsid w:val="00887D4D"/>
    <w:rsid w:val="00891DEA"/>
    <w:rsid w:val="008A1420"/>
    <w:rsid w:val="008B657D"/>
    <w:rsid w:val="008D4F59"/>
    <w:rsid w:val="008D58B6"/>
    <w:rsid w:val="009018F4"/>
    <w:rsid w:val="00913922"/>
    <w:rsid w:val="009505C5"/>
    <w:rsid w:val="009513B3"/>
    <w:rsid w:val="00957E83"/>
    <w:rsid w:val="009A63E5"/>
    <w:rsid w:val="009B5377"/>
    <w:rsid w:val="009C29D0"/>
    <w:rsid w:val="009E1DEF"/>
    <w:rsid w:val="009F1E18"/>
    <w:rsid w:val="00A03C8D"/>
    <w:rsid w:val="00A04A34"/>
    <w:rsid w:val="00A31C20"/>
    <w:rsid w:val="00A47567"/>
    <w:rsid w:val="00A55CD4"/>
    <w:rsid w:val="00A663BA"/>
    <w:rsid w:val="00A93526"/>
    <w:rsid w:val="00AA3BF0"/>
    <w:rsid w:val="00AB6775"/>
    <w:rsid w:val="00AC0815"/>
    <w:rsid w:val="00AC605A"/>
    <w:rsid w:val="00AC620D"/>
    <w:rsid w:val="00AD040D"/>
    <w:rsid w:val="00AD7922"/>
    <w:rsid w:val="00AE6609"/>
    <w:rsid w:val="00AE6FB4"/>
    <w:rsid w:val="00B11029"/>
    <w:rsid w:val="00B13B77"/>
    <w:rsid w:val="00B2214B"/>
    <w:rsid w:val="00B36C9C"/>
    <w:rsid w:val="00B52DF3"/>
    <w:rsid w:val="00B62F80"/>
    <w:rsid w:val="00B63288"/>
    <w:rsid w:val="00B634B7"/>
    <w:rsid w:val="00B81EB4"/>
    <w:rsid w:val="00B97EDC"/>
    <w:rsid w:val="00BA0217"/>
    <w:rsid w:val="00BA7C8B"/>
    <w:rsid w:val="00BB3850"/>
    <w:rsid w:val="00BD68D8"/>
    <w:rsid w:val="00C134C5"/>
    <w:rsid w:val="00C14FBF"/>
    <w:rsid w:val="00C168D5"/>
    <w:rsid w:val="00C35DAD"/>
    <w:rsid w:val="00C40BA4"/>
    <w:rsid w:val="00C46456"/>
    <w:rsid w:val="00C61519"/>
    <w:rsid w:val="00C63232"/>
    <w:rsid w:val="00C63790"/>
    <w:rsid w:val="00C72BBB"/>
    <w:rsid w:val="00C8180D"/>
    <w:rsid w:val="00C85371"/>
    <w:rsid w:val="00CA467A"/>
    <w:rsid w:val="00CB2F6E"/>
    <w:rsid w:val="00CB5EA8"/>
    <w:rsid w:val="00CD030E"/>
    <w:rsid w:val="00D31F56"/>
    <w:rsid w:val="00D406A2"/>
    <w:rsid w:val="00D40FB4"/>
    <w:rsid w:val="00D46A52"/>
    <w:rsid w:val="00D5298F"/>
    <w:rsid w:val="00D572F3"/>
    <w:rsid w:val="00D75EFB"/>
    <w:rsid w:val="00DB5FFF"/>
    <w:rsid w:val="00DB6B04"/>
    <w:rsid w:val="00DC5B46"/>
    <w:rsid w:val="00DF046B"/>
    <w:rsid w:val="00DF35BB"/>
    <w:rsid w:val="00DF4107"/>
    <w:rsid w:val="00DF7F00"/>
    <w:rsid w:val="00E01C77"/>
    <w:rsid w:val="00E46C93"/>
    <w:rsid w:val="00E61451"/>
    <w:rsid w:val="00E71BCC"/>
    <w:rsid w:val="00E75DB4"/>
    <w:rsid w:val="00E84439"/>
    <w:rsid w:val="00EA1882"/>
    <w:rsid w:val="00EA68E3"/>
    <w:rsid w:val="00EA6E15"/>
    <w:rsid w:val="00EA7785"/>
    <w:rsid w:val="00F05B35"/>
    <w:rsid w:val="00F12E84"/>
    <w:rsid w:val="00F1492B"/>
    <w:rsid w:val="00F33B2C"/>
    <w:rsid w:val="00F50DBA"/>
    <w:rsid w:val="00F552E6"/>
    <w:rsid w:val="00F67DA1"/>
    <w:rsid w:val="00F81240"/>
    <w:rsid w:val="00F912A8"/>
    <w:rsid w:val="00F96F37"/>
    <w:rsid w:val="00FA77FD"/>
    <w:rsid w:val="00FB0E8F"/>
    <w:rsid w:val="00FB3A0F"/>
    <w:rsid w:val="00FB64A8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6</cp:revision>
  <dcterms:created xsi:type="dcterms:W3CDTF">2020-08-26T15:06:00Z</dcterms:created>
  <dcterms:modified xsi:type="dcterms:W3CDTF">2021-03-03T05:57:00Z</dcterms:modified>
</cp:coreProperties>
</file>