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7375B9F" w14:textId="77777777" w:rsidR="000C0E8A" w:rsidRDefault="009216D0">
      <w:r>
        <w:rPr>
          <w:noProof/>
        </w:rPr>
        <w:drawing>
          <wp:anchor distT="0" distB="0" distL="114300" distR="114300" simplePos="0" relativeHeight="2" behindDoc="0" locked="0" layoutInCell="1" allowOverlap="1" wp14:anchorId="24A483AD" wp14:editId="565C4B67">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51C2E0F1" w14:textId="77777777" w:rsidR="000C0E8A" w:rsidRDefault="000C0E8A">
      <w:pPr>
        <w:rPr>
          <w:rFonts w:ascii="Arial" w:hAnsi="Arial" w:cs="Arial"/>
          <w:color w:val="0000FF"/>
          <w:sz w:val="20"/>
          <w:szCs w:val="20"/>
        </w:rPr>
      </w:pPr>
    </w:p>
    <w:p w14:paraId="3C3C52E5" w14:textId="77777777" w:rsidR="000C0E8A" w:rsidRDefault="000C0E8A">
      <w:pPr>
        <w:rPr>
          <w:rFonts w:ascii="Arial" w:hAnsi="Arial" w:cs="Arial"/>
          <w:color w:val="0000FF"/>
          <w:sz w:val="20"/>
          <w:szCs w:val="20"/>
        </w:rPr>
      </w:pPr>
    </w:p>
    <w:p w14:paraId="7144F0C2" w14:textId="77777777" w:rsidR="000C0E8A" w:rsidRDefault="000C0E8A">
      <w:pPr>
        <w:rPr>
          <w:rFonts w:ascii="Arial" w:hAnsi="Arial" w:cs="Arial"/>
          <w:color w:val="0000FF"/>
          <w:sz w:val="20"/>
          <w:szCs w:val="20"/>
        </w:rPr>
      </w:pPr>
    </w:p>
    <w:p w14:paraId="7CD52CF2" w14:textId="77777777" w:rsidR="000C0E8A" w:rsidRDefault="000C0E8A">
      <w:pPr>
        <w:rPr>
          <w:rFonts w:ascii="Arial" w:hAnsi="Arial" w:cs="Arial"/>
          <w:color w:val="0000FF"/>
          <w:sz w:val="20"/>
          <w:szCs w:val="20"/>
        </w:rPr>
      </w:pPr>
    </w:p>
    <w:p w14:paraId="192A4477" w14:textId="77777777" w:rsidR="000C0E8A" w:rsidRDefault="000C0E8A">
      <w:pPr>
        <w:rPr>
          <w:rFonts w:ascii="Arial" w:hAnsi="Arial" w:cs="Arial"/>
          <w:color w:val="0000FF"/>
          <w:sz w:val="20"/>
          <w:szCs w:val="20"/>
        </w:rPr>
      </w:pPr>
    </w:p>
    <w:p w14:paraId="05914926" w14:textId="77777777" w:rsidR="000C0E8A" w:rsidRDefault="000C0E8A">
      <w:pPr>
        <w:rPr>
          <w:rFonts w:ascii="Arial" w:hAnsi="Arial" w:cs="Arial"/>
          <w:color w:val="0000FF"/>
          <w:sz w:val="20"/>
          <w:szCs w:val="20"/>
        </w:rPr>
      </w:pPr>
    </w:p>
    <w:p w14:paraId="5B98B718" w14:textId="77777777" w:rsidR="000C0E8A" w:rsidRDefault="009216D0">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 xml:space="preserve">TITLE, AUTHORS, APPROVALS, </w:t>
      </w:r>
      <w:proofErr w:type="spellStart"/>
      <w:r>
        <w:rPr>
          <w:rFonts w:ascii="Arial" w:hAnsi="Arial" w:cs="Arial"/>
          <w:b/>
          <w:color w:val="000000"/>
          <w:sz w:val="22"/>
          <w:szCs w:val="22"/>
          <w:u w:val="single"/>
        </w:rPr>
        <w:t>etc</w:t>
      </w:r>
      <w:proofErr w:type="spellEnd"/>
    </w:p>
    <w:p w14:paraId="0CB4F32E" w14:textId="77777777" w:rsidR="000C0E8A" w:rsidRDefault="000C0E8A">
      <w:pPr>
        <w:rPr>
          <w:rFonts w:ascii="Arial" w:hAnsi="Arial" w:cs="Arial"/>
          <w:sz w:val="22"/>
          <w:szCs w:val="22"/>
          <w:lang w:val="en-GB"/>
        </w:rPr>
      </w:pPr>
    </w:p>
    <w:tbl>
      <w:tblPr>
        <w:tblW w:w="9072" w:type="dxa"/>
        <w:tblInd w:w="127" w:type="dxa"/>
        <w:tblLook w:val="04A0" w:firstRow="1" w:lastRow="0" w:firstColumn="1" w:lastColumn="0" w:noHBand="0" w:noVBand="1"/>
      </w:tblPr>
      <w:tblGrid>
        <w:gridCol w:w="3552"/>
        <w:gridCol w:w="4810"/>
        <w:gridCol w:w="710"/>
      </w:tblGrid>
      <w:tr w:rsidR="000C0E8A" w14:paraId="1E1DE21F" w14:textId="77777777">
        <w:tc>
          <w:tcPr>
            <w:tcW w:w="3552" w:type="dxa"/>
            <w:tcBorders>
              <w:top w:val="double" w:sz="4" w:space="0" w:color="000000"/>
              <w:left w:val="double" w:sz="4" w:space="0" w:color="000000"/>
              <w:right w:val="single" w:sz="4" w:space="0" w:color="000000"/>
            </w:tcBorders>
            <w:shd w:val="clear" w:color="auto" w:fill="auto"/>
            <w:vAlign w:val="center"/>
          </w:tcPr>
          <w:p w14:paraId="14E1EEED" w14:textId="77777777" w:rsidR="000C0E8A" w:rsidRDefault="009216D0">
            <w:pPr>
              <w:pStyle w:val="BodyTextIndent"/>
              <w:ind w:left="0" w:firstLine="0"/>
              <w:rPr>
                <w:rFonts w:ascii="Arial" w:hAnsi="Arial" w:cs="Arial"/>
                <w:b/>
                <w:i/>
                <w:sz w:val="36"/>
                <w:szCs w:val="36"/>
              </w:rPr>
            </w:pPr>
            <w:r>
              <w:rPr>
                <w:rFonts w:ascii="Arial" w:hAnsi="Arial" w:cs="Arial"/>
                <w:b/>
                <w:szCs w:val="24"/>
              </w:rPr>
              <w:t>Code assigned:</w:t>
            </w:r>
          </w:p>
        </w:tc>
        <w:tc>
          <w:tcPr>
            <w:tcW w:w="4810" w:type="dxa"/>
            <w:tcBorders>
              <w:top w:val="double" w:sz="4" w:space="0" w:color="000000"/>
              <w:left w:val="single" w:sz="4" w:space="0" w:color="000000"/>
              <w:bottom w:val="single" w:sz="4" w:space="0" w:color="000000"/>
              <w:right w:val="single" w:sz="4" w:space="0" w:color="000000"/>
            </w:tcBorders>
            <w:shd w:val="clear" w:color="auto" w:fill="auto"/>
          </w:tcPr>
          <w:p w14:paraId="3A97AAF4" w14:textId="10DFC090" w:rsidR="000C0E8A" w:rsidRDefault="007D4101">
            <w:pPr>
              <w:pStyle w:val="BodyTextIndent"/>
              <w:ind w:left="0" w:firstLine="0"/>
              <w:jc w:val="center"/>
              <w:rPr>
                <w:rFonts w:ascii="Arial" w:hAnsi="Arial" w:cs="Arial"/>
                <w:b/>
                <w:bCs/>
                <w:i/>
                <w:sz w:val="28"/>
                <w:szCs w:val="28"/>
              </w:rPr>
            </w:pPr>
            <w:r w:rsidRPr="007D4101">
              <w:rPr>
                <w:rFonts w:ascii="Arial" w:hAnsi="Arial" w:cs="Arial"/>
                <w:b/>
                <w:bCs/>
                <w:color w:val="000000" w:themeColor="text1"/>
                <w:sz w:val="28"/>
                <w:szCs w:val="28"/>
              </w:rPr>
              <w:t>2020.114B</w:t>
            </w:r>
          </w:p>
        </w:tc>
        <w:tc>
          <w:tcPr>
            <w:tcW w:w="710" w:type="dxa"/>
            <w:tcBorders>
              <w:top w:val="double" w:sz="4" w:space="0" w:color="000000"/>
              <w:left w:val="single" w:sz="4" w:space="0" w:color="000000"/>
              <w:right w:val="double" w:sz="4" w:space="0" w:color="000000"/>
            </w:tcBorders>
            <w:shd w:val="clear" w:color="auto" w:fill="auto"/>
            <w:vAlign w:val="center"/>
          </w:tcPr>
          <w:p w14:paraId="67861699" w14:textId="77777777" w:rsidR="000C0E8A" w:rsidRDefault="000C0E8A">
            <w:pPr>
              <w:pStyle w:val="BodyTextIndent"/>
              <w:ind w:left="0" w:firstLine="0"/>
              <w:rPr>
                <w:rFonts w:ascii="Arial" w:hAnsi="Arial" w:cs="Arial"/>
              </w:rPr>
            </w:pPr>
          </w:p>
        </w:tc>
      </w:tr>
      <w:tr w:rsidR="000C0E8A" w14:paraId="662E745E" w14:textId="77777777">
        <w:tc>
          <w:tcPr>
            <w:tcW w:w="9072" w:type="dxa"/>
            <w:gridSpan w:val="3"/>
            <w:tcBorders>
              <w:left w:val="double" w:sz="4" w:space="0" w:color="000000"/>
              <w:right w:val="double" w:sz="4" w:space="0" w:color="000000"/>
            </w:tcBorders>
            <w:shd w:val="clear" w:color="auto" w:fill="auto"/>
          </w:tcPr>
          <w:p w14:paraId="58E1B6CB" w14:textId="0970988C" w:rsidR="000C0E8A" w:rsidRDefault="009216D0" w:rsidP="00761BF7">
            <w:pPr>
              <w:spacing w:before="120"/>
              <w:rPr>
                <w:rFonts w:ascii="Arial" w:hAnsi="Arial" w:cs="Arial"/>
                <w:b/>
                <w:bCs/>
                <w:sz w:val="22"/>
                <w:szCs w:val="22"/>
              </w:rPr>
            </w:pPr>
            <w:r>
              <w:rPr>
                <w:rFonts w:ascii="Arial" w:hAnsi="Arial" w:cs="Arial"/>
                <w:b/>
              </w:rPr>
              <w:t xml:space="preserve">Short title: </w:t>
            </w:r>
            <w:r w:rsidR="007D4101" w:rsidRPr="007D4101">
              <w:rPr>
                <w:rFonts w:ascii="Arial" w:hAnsi="Arial" w:cs="Arial"/>
                <w:bCs/>
                <w:sz w:val="22"/>
                <w:szCs w:val="22"/>
              </w:rPr>
              <w:t>Create one new family (</w:t>
            </w:r>
            <w:proofErr w:type="spellStart"/>
            <w:r w:rsidR="007D4101" w:rsidRPr="007D4101">
              <w:rPr>
                <w:rFonts w:ascii="Arial" w:hAnsi="Arial" w:cs="Arial"/>
                <w:bCs/>
                <w:i/>
                <w:iCs/>
                <w:sz w:val="22"/>
                <w:szCs w:val="22"/>
              </w:rPr>
              <w:t>Paulinoviridae</w:t>
            </w:r>
            <w:proofErr w:type="spellEnd"/>
            <w:r w:rsidR="007D4101" w:rsidRPr="007D4101">
              <w:rPr>
                <w:rFonts w:ascii="Arial" w:hAnsi="Arial" w:cs="Arial"/>
                <w:bCs/>
                <w:sz w:val="22"/>
                <w:szCs w:val="22"/>
              </w:rPr>
              <w:t>)</w:t>
            </w:r>
            <w:r w:rsidR="007D4101" w:rsidRPr="007D4101">
              <w:rPr>
                <w:rFonts w:ascii="Arial" w:hAnsi="Arial" w:cs="Arial"/>
                <w:bCs/>
                <w:i/>
                <w:iCs/>
                <w:sz w:val="22"/>
                <w:szCs w:val="22"/>
              </w:rPr>
              <w:t xml:space="preserve"> </w:t>
            </w:r>
            <w:r w:rsidR="007D4101" w:rsidRPr="007D4101">
              <w:rPr>
                <w:rFonts w:ascii="Arial" w:hAnsi="Arial" w:cs="Arial"/>
                <w:bCs/>
                <w:sz w:val="22"/>
                <w:szCs w:val="22"/>
              </w:rPr>
              <w:t xml:space="preserve">including two genera moved from the family </w:t>
            </w:r>
            <w:proofErr w:type="spellStart"/>
            <w:r w:rsidR="007D4101" w:rsidRPr="007D4101">
              <w:rPr>
                <w:rFonts w:ascii="Arial" w:hAnsi="Arial" w:cs="Arial"/>
                <w:bCs/>
                <w:i/>
                <w:iCs/>
                <w:sz w:val="22"/>
                <w:szCs w:val="22"/>
              </w:rPr>
              <w:t>Inoviridae</w:t>
            </w:r>
            <w:proofErr w:type="spellEnd"/>
            <w:r w:rsidR="007D4101" w:rsidRPr="007D4101">
              <w:rPr>
                <w:rFonts w:ascii="Arial" w:hAnsi="Arial" w:cs="Arial"/>
                <w:bCs/>
                <w:sz w:val="22"/>
                <w:szCs w:val="22"/>
              </w:rPr>
              <w:t xml:space="preserve"> (</w:t>
            </w:r>
            <w:proofErr w:type="spellStart"/>
            <w:r w:rsidR="007D4101" w:rsidRPr="007D4101">
              <w:rPr>
                <w:rFonts w:ascii="Arial" w:hAnsi="Arial" w:cs="Arial"/>
                <w:bCs/>
                <w:i/>
                <w:iCs/>
                <w:sz w:val="22"/>
                <w:szCs w:val="22"/>
              </w:rPr>
              <w:t>Tubulavirales</w:t>
            </w:r>
            <w:proofErr w:type="spellEnd"/>
            <w:r w:rsidR="007D4101" w:rsidRPr="007D4101">
              <w:rPr>
                <w:rFonts w:ascii="Arial" w:hAnsi="Arial" w:cs="Arial"/>
                <w:bCs/>
                <w:sz w:val="22"/>
                <w:szCs w:val="22"/>
              </w:rPr>
              <w:t>)</w:t>
            </w:r>
          </w:p>
        </w:tc>
      </w:tr>
      <w:tr w:rsidR="000C0E8A" w14:paraId="084D2329"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1F332633" w14:textId="77777777" w:rsidR="000C0E8A" w:rsidRDefault="000C0E8A">
            <w:pPr>
              <w:rPr>
                <w:rFonts w:ascii="Arial" w:hAnsi="Arial" w:cs="Arial"/>
                <w:b/>
                <w:sz w:val="22"/>
                <w:szCs w:val="22"/>
              </w:rPr>
            </w:pPr>
          </w:p>
        </w:tc>
      </w:tr>
    </w:tbl>
    <w:p w14:paraId="124A8AF4" w14:textId="77777777" w:rsidR="000C0E8A" w:rsidRDefault="009216D0">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0C0E8A" w14:paraId="624F2A0B" w14:textId="77777777" w:rsidTr="00761BF7">
        <w:tc>
          <w:tcPr>
            <w:tcW w:w="4368" w:type="dxa"/>
            <w:shd w:val="clear" w:color="auto" w:fill="auto"/>
          </w:tcPr>
          <w:p w14:paraId="0B30F17D" w14:textId="2D077493" w:rsidR="000C0E8A" w:rsidRDefault="009216D0">
            <w:pPr>
              <w:rPr>
                <w:rFonts w:ascii="Arial" w:hAnsi="Arial" w:cs="Arial"/>
                <w:sz w:val="22"/>
                <w:szCs w:val="22"/>
              </w:rPr>
            </w:pPr>
            <w:r>
              <w:rPr>
                <w:rFonts w:ascii="Arial" w:hAnsi="Arial" w:cs="Arial"/>
                <w:sz w:val="22"/>
                <w:szCs w:val="22"/>
              </w:rPr>
              <w:t xml:space="preserve">Roux S, </w:t>
            </w:r>
            <w:proofErr w:type="spellStart"/>
            <w:r>
              <w:rPr>
                <w:rFonts w:ascii="Arial" w:hAnsi="Arial" w:cs="Arial"/>
                <w:sz w:val="22"/>
                <w:szCs w:val="22"/>
              </w:rPr>
              <w:t>Krupovic</w:t>
            </w:r>
            <w:proofErr w:type="spellEnd"/>
            <w:r>
              <w:rPr>
                <w:rFonts w:ascii="Arial" w:hAnsi="Arial" w:cs="Arial"/>
                <w:sz w:val="22"/>
                <w:szCs w:val="22"/>
              </w:rPr>
              <w:t xml:space="preserve"> M</w:t>
            </w:r>
          </w:p>
          <w:p w14:paraId="0B0A8555" w14:textId="77777777" w:rsidR="000C0E8A" w:rsidRDefault="000C0E8A">
            <w:pPr>
              <w:rPr>
                <w:rFonts w:ascii="Arial" w:hAnsi="Arial" w:cs="Arial"/>
                <w:sz w:val="22"/>
                <w:szCs w:val="22"/>
              </w:rPr>
            </w:pPr>
          </w:p>
        </w:tc>
        <w:tc>
          <w:tcPr>
            <w:tcW w:w="4704" w:type="dxa"/>
            <w:shd w:val="clear" w:color="auto" w:fill="auto"/>
          </w:tcPr>
          <w:p w14:paraId="2DA9B345" w14:textId="0A3D2D6E" w:rsidR="000C0E8A" w:rsidRDefault="009216D0">
            <w:r>
              <w:rPr>
                <w:rFonts w:ascii="Arial" w:hAnsi="Arial" w:cs="Arial"/>
                <w:sz w:val="22"/>
                <w:szCs w:val="22"/>
              </w:rPr>
              <w:t>siroux1@gmail.com; mart.krupovic@pasteur.fr</w:t>
            </w:r>
          </w:p>
        </w:tc>
      </w:tr>
    </w:tbl>
    <w:p w14:paraId="120CC8E2" w14:textId="77777777" w:rsidR="000C0E8A" w:rsidRDefault="009216D0">
      <w:pPr>
        <w:spacing w:before="120" w:after="120"/>
        <w:rPr>
          <w:rFonts w:ascii="Arial" w:hAnsi="Arial" w:cs="Arial"/>
          <w:color w:val="0000FF"/>
          <w:sz w:val="20"/>
          <w:szCs w:val="20"/>
        </w:rPr>
      </w:pPr>
      <w:r>
        <w:rPr>
          <w:rFonts w:ascii="Arial" w:hAnsi="Arial" w:cs="Arial"/>
          <w:b/>
        </w:rPr>
        <w:t>Author(s) institutional address(es) (optional)</w:t>
      </w:r>
    </w:p>
    <w:p w14:paraId="0F833443" w14:textId="2E37137E" w:rsidR="000C0E8A" w:rsidRDefault="000C0E8A">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0C0E8A" w14:paraId="058E9CBC" w14:textId="77777777">
        <w:tc>
          <w:tcPr>
            <w:tcW w:w="9072" w:type="dxa"/>
            <w:shd w:val="clear" w:color="auto" w:fill="auto"/>
          </w:tcPr>
          <w:p w14:paraId="37789D9F" w14:textId="77777777" w:rsidR="000C0E8A" w:rsidRDefault="009216D0">
            <w:pPr>
              <w:rPr>
                <w:rFonts w:ascii="Arial" w:hAnsi="Arial" w:cs="Arial"/>
                <w:sz w:val="22"/>
                <w:szCs w:val="22"/>
              </w:rPr>
            </w:pPr>
            <w:r>
              <w:rPr>
                <w:rFonts w:ascii="Arial" w:hAnsi="Arial" w:cs="Arial"/>
                <w:sz w:val="22"/>
                <w:szCs w:val="22"/>
              </w:rPr>
              <w:t>DOE Joint Genome Institute, Lawrence Berkeley National Institute [SR]</w:t>
            </w:r>
          </w:p>
          <w:p w14:paraId="3A5C64AA" w14:textId="6747E8BB" w:rsidR="000C0E8A" w:rsidRPr="007D4101" w:rsidRDefault="009216D0">
            <w:proofErr w:type="spellStart"/>
            <w:r>
              <w:rPr>
                <w:rFonts w:ascii="Arial" w:hAnsi="Arial" w:cs="Arial"/>
                <w:sz w:val="22"/>
                <w:szCs w:val="22"/>
              </w:rPr>
              <w:t>Institut</w:t>
            </w:r>
            <w:proofErr w:type="spellEnd"/>
            <w:r>
              <w:rPr>
                <w:rFonts w:ascii="Arial" w:hAnsi="Arial" w:cs="Arial"/>
                <w:sz w:val="22"/>
                <w:szCs w:val="22"/>
              </w:rPr>
              <w:t xml:space="preserve"> Pasteur [MK]</w:t>
            </w:r>
          </w:p>
        </w:tc>
      </w:tr>
    </w:tbl>
    <w:p w14:paraId="4B1F9D01" w14:textId="77777777" w:rsidR="000C0E8A" w:rsidRDefault="009216D0">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0C0E8A" w:rsidRPr="00761BF7" w14:paraId="55C79C30" w14:textId="77777777">
        <w:tc>
          <w:tcPr>
            <w:tcW w:w="9072" w:type="dxa"/>
            <w:shd w:val="clear" w:color="auto" w:fill="auto"/>
          </w:tcPr>
          <w:p w14:paraId="16D71EDC" w14:textId="77777777" w:rsidR="000C0E8A" w:rsidRDefault="009216D0">
            <w:pPr>
              <w:rPr>
                <w:rFonts w:ascii="Arial" w:hAnsi="Arial" w:cs="Arial"/>
                <w:sz w:val="22"/>
                <w:szCs w:val="22"/>
                <w:lang w:val="fr-FR"/>
              </w:rPr>
            </w:pPr>
            <w:r>
              <w:rPr>
                <w:rFonts w:ascii="Arial" w:hAnsi="Arial" w:cs="Arial"/>
                <w:sz w:val="22"/>
                <w:szCs w:val="22"/>
                <w:lang w:val="fr-FR"/>
              </w:rPr>
              <w:t>Simon Roux (siroux1@gmail.com)</w:t>
            </w:r>
          </w:p>
        </w:tc>
      </w:tr>
    </w:tbl>
    <w:p w14:paraId="65BFB51A" w14:textId="77777777" w:rsidR="000C0E8A" w:rsidRDefault="009216D0">
      <w:pPr>
        <w:spacing w:before="120" w:after="120"/>
        <w:rPr>
          <w:rFonts w:ascii="Arial" w:hAnsi="Arial" w:cs="Arial"/>
          <w:b/>
        </w:rPr>
      </w:pPr>
      <w:r>
        <w:rPr>
          <w:rFonts w:ascii="Arial" w:hAnsi="Arial" w:cs="Arial"/>
          <w:b/>
        </w:rPr>
        <w:t>List the ICTV Study Group(s) that have seen this proposal</w:t>
      </w:r>
    </w:p>
    <w:p w14:paraId="06939438" w14:textId="4DF3FFBE" w:rsidR="000C0E8A" w:rsidRDefault="000C0E8A"/>
    <w:tbl>
      <w:tblPr>
        <w:tblStyle w:val="TableGrid"/>
        <w:tblW w:w="9072" w:type="dxa"/>
        <w:tblInd w:w="137" w:type="dxa"/>
        <w:tblLook w:val="04A0" w:firstRow="1" w:lastRow="0" w:firstColumn="1" w:lastColumn="0" w:noHBand="0" w:noVBand="1"/>
      </w:tblPr>
      <w:tblGrid>
        <w:gridCol w:w="9072"/>
      </w:tblGrid>
      <w:tr w:rsidR="000C0E8A" w14:paraId="3AFED9B3" w14:textId="77777777">
        <w:tc>
          <w:tcPr>
            <w:tcW w:w="9072" w:type="dxa"/>
            <w:shd w:val="clear" w:color="auto" w:fill="auto"/>
          </w:tcPr>
          <w:p w14:paraId="401D3173" w14:textId="4CB84751" w:rsidR="000C0E8A" w:rsidRDefault="00761BF7">
            <w:pPr>
              <w:rPr>
                <w:rFonts w:ascii="Arial" w:hAnsi="Arial" w:cs="Arial"/>
                <w:sz w:val="22"/>
                <w:szCs w:val="22"/>
              </w:rPr>
            </w:pPr>
            <w:proofErr w:type="spellStart"/>
            <w:r>
              <w:rPr>
                <w:rFonts w:ascii="Arial" w:hAnsi="Arial" w:cs="Arial"/>
                <w:i/>
                <w:iCs/>
                <w:sz w:val="22"/>
                <w:szCs w:val="22"/>
              </w:rPr>
              <w:t>Tubulavirales</w:t>
            </w:r>
            <w:proofErr w:type="spellEnd"/>
            <w:r>
              <w:rPr>
                <w:rFonts w:ascii="Arial" w:hAnsi="Arial" w:cs="Arial"/>
                <w:sz w:val="22"/>
                <w:szCs w:val="22"/>
              </w:rPr>
              <w:t xml:space="preserve"> Study Group, </w:t>
            </w:r>
            <w:r w:rsidR="009216D0">
              <w:rPr>
                <w:rFonts w:ascii="Arial" w:hAnsi="Arial" w:cs="Arial"/>
                <w:sz w:val="22"/>
                <w:szCs w:val="22"/>
              </w:rPr>
              <w:t>Bacterial and Archaeal Viruses Subcommittee</w:t>
            </w:r>
          </w:p>
        </w:tc>
      </w:tr>
    </w:tbl>
    <w:p w14:paraId="5DF28875" w14:textId="77777777" w:rsidR="000C0E8A" w:rsidRDefault="009216D0">
      <w:pPr>
        <w:spacing w:before="120" w:after="120"/>
        <w:rPr>
          <w:rFonts w:ascii="Arial" w:hAnsi="Arial" w:cs="Arial"/>
          <w:b/>
        </w:rPr>
      </w:pPr>
      <w:r>
        <w:rPr>
          <w:rFonts w:ascii="Arial" w:hAnsi="Arial" w:cs="Arial"/>
          <w:b/>
        </w:rPr>
        <w:t>ICTV study group comments and response of proposer</w:t>
      </w:r>
    </w:p>
    <w:p w14:paraId="45F3D08F" w14:textId="77777777" w:rsidR="000C0E8A" w:rsidRDefault="000C0E8A">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0C0E8A" w14:paraId="358241CD" w14:textId="77777777">
        <w:tc>
          <w:tcPr>
            <w:tcW w:w="9072" w:type="dxa"/>
            <w:shd w:val="clear" w:color="auto" w:fill="auto"/>
          </w:tcPr>
          <w:p w14:paraId="3594C6C8" w14:textId="77777777" w:rsidR="000C0E8A" w:rsidRDefault="000C0E8A">
            <w:pPr>
              <w:rPr>
                <w:rFonts w:ascii="Arial" w:hAnsi="Arial" w:cs="Arial"/>
                <w:sz w:val="22"/>
                <w:szCs w:val="22"/>
              </w:rPr>
            </w:pPr>
          </w:p>
          <w:p w14:paraId="279AAF6A" w14:textId="77777777" w:rsidR="000C0E8A" w:rsidRDefault="000C0E8A">
            <w:pPr>
              <w:rPr>
                <w:rFonts w:ascii="Arial" w:hAnsi="Arial" w:cs="Arial"/>
                <w:sz w:val="22"/>
                <w:szCs w:val="22"/>
              </w:rPr>
            </w:pPr>
          </w:p>
          <w:p w14:paraId="7448374B" w14:textId="77777777" w:rsidR="000C0E8A" w:rsidRDefault="000C0E8A">
            <w:pPr>
              <w:rPr>
                <w:rFonts w:ascii="Arial" w:hAnsi="Arial" w:cs="Arial"/>
                <w:sz w:val="22"/>
                <w:szCs w:val="22"/>
              </w:rPr>
            </w:pPr>
          </w:p>
          <w:p w14:paraId="117E2485" w14:textId="77777777" w:rsidR="000C0E8A" w:rsidRDefault="000C0E8A">
            <w:pPr>
              <w:rPr>
                <w:rFonts w:ascii="Arial" w:hAnsi="Arial" w:cs="Arial"/>
                <w:sz w:val="22"/>
                <w:szCs w:val="22"/>
              </w:rPr>
            </w:pPr>
          </w:p>
          <w:p w14:paraId="2F4BC7ED" w14:textId="5494D228" w:rsidR="000C0E8A" w:rsidRDefault="000C0E8A">
            <w:pPr>
              <w:rPr>
                <w:rFonts w:ascii="Arial" w:hAnsi="Arial" w:cs="Arial"/>
                <w:sz w:val="22"/>
                <w:szCs w:val="22"/>
              </w:rPr>
            </w:pPr>
          </w:p>
          <w:p w14:paraId="6C4F194D" w14:textId="318A97D5" w:rsidR="007D4101" w:rsidRDefault="007D4101">
            <w:pPr>
              <w:rPr>
                <w:rFonts w:ascii="Arial" w:hAnsi="Arial" w:cs="Arial"/>
                <w:sz w:val="22"/>
                <w:szCs w:val="22"/>
              </w:rPr>
            </w:pPr>
          </w:p>
          <w:p w14:paraId="2CEF9FC5" w14:textId="7FD116CA" w:rsidR="007D4101" w:rsidRDefault="007D4101">
            <w:pPr>
              <w:rPr>
                <w:rFonts w:ascii="Arial" w:hAnsi="Arial" w:cs="Arial"/>
                <w:sz w:val="22"/>
                <w:szCs w:val="22"/>
              </w:rPr>
            </w:pPr>
          </w:p>
          <w:p w14:paraId="13643580" w14:textId="77777777" w:rsidR="007D4101" w:rsidRDefault="007D4101">
            <w:pPr>
              <w:rPr>
                <w:rFonts w:ascii="Arial" w:hAnsi="Arial" w:cs="Arial"/>
                <w:sz w:val="22"/>
                <w:szCs w:val="22"/>
              </w:rPr>
            </w:pPr>
          </w:p>
          <w:p w14:paraId="09419F20" w14:textId="77777777" w:rsidR="000C0E8A" w:rsidRDefault="000C0E8A">
            <w:pPr>
              <w:rPr>
                <w:rFonts w:ascii="Arial" w:hAnsi="Arial" w:cs="Arial"/>
                <w:sz w:val="22"/>
                <w:szCs w:val="22"/>
              </w:rPr>
            </w:pPr>
          </w:p>
        </w:tc>
      </w:tr>
    </w:tbl>
    <w:p w14:paraId="612331A2" w14:textId="77777777" w:rsidR="000C0E8A" w:rsidRDefault="009216D0">
      <w:pPr>
        <w:spacing w:before="120" w:after="120"/>
        <w:rPr>
          <w:rFonts w:ascii="Arial" w:hAnsi="Arial" w:cs="Arial"/>
          <w:b/>
        </w:rPr>
      </w:pPr>
      <w:r>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2691"/>
        <w:gridCol w:w="3404"/>
        <w:gridCol w:w="2977"/>
      </w:tblGrid>
      <w:tr w:rsidR="000C0E8A" w14:paraId="7AC6EBEB" w14:textId="77777777">
        <w:tc>
          <w:tcPr>
            <w:tcW w:w="2691" w:type="dxa"/>
            <w:shd w:val="clear" w:color="auto" w:fill="auto"/>
          </w:tcPr>
          <w:p w14:paraId="5E015E72" w14:textId="77777777" w:rsidR="000C0E8A" w:rsidRDefault="009216D0">
            <w:pPr>
              <w:rPr>
                <w:rFonts w:ascii="Arial" w:hAnsi="Arial" w:cs="Arial"/>
                <w:b/>
                <w:bCs/>
                <w:color w:val="000000"/>
                <w:sz w:val="22"/>
                <w:szCs w:val="22"/>
              </w:rPr>
            </w:pPr>
            <w:r>
              <w:rPr>
                <w:rFonts w:ascii="Arial" w:hAnsi="Arial" w:cs="Arial"/>
                <w:b/>
                <w:bCs/>
                <w:color w:val="000000"/>
                <w:sz w:val="22"/>
                <w:szCs w:val="22"/>
              </w:rPr>
              <w:t>Taxon name</w:t>
            </w:r>
          </w:p>
        </w:tc>
        <w:tc>
          <w:tcPr>
            <w:tcW w:w="3404" w:type="dxa"/>
            <w:shd w:val="clear" w:color="auto" w:fill="auto"/>
          </w:tcPr>
          <w:p w14:paraId="75913372" w14:textId="77777777" w:rsidR="000C0E8A" w:rsidRDefault="009216D0">
            <w:r>
              <w:rPr>
                <w:rFonts w:ascii="Arial" w:hAnsi="Arial" w:cs="Arial"/>
                <w:b/>
                <w:bCs/>
                <w:color w:val="000000"/>
                <w:sz w:val="22"/>
                <w:szCs w:val="22"/>
              </w:rPr>
              <w:t>Person from whom the name is derived</w:t>
            </w:r>
          </w:p>
        </w:tc>
        <w:tc>
          <w:tcPr>
            <w:tcW w:w="2977" w:type="dxa"/>
            <w:shd w:val="clear" w:color="auto" w:fill="auto"/>
          </w:tcPr>
          <w:p w14:paraId="5E6F9C2A" w14:textId="77777777" w:rsidR="000C0E8A" w:rsidRDefault="009216D0">
            <w:r>
              <w:rPr>
                <w:rFonts w:ascii="Arial" w:hAnsi="Arial" w:cs="Arial"/>
                <w:b/>
                <w:bCs/>
                <w:color w:val="000000"/>
                <w:sz w:val="22"/>
                <w:szCs w:val="22"/>
              </w:rPr>
              <w:t>Permission attached (Y/N)</w:t>
            </w:r>
          </w:p>
        </w:tc>
      </w:tr>
      <w:tr w:rsidR="000C0E8A" w14:paraId="27534136" w14:textId="77777777">
        <w:tc>
          <w:tcPr>
            <w:tcW w:w="2691" w:type="dxa"/>
            <w:shd w:val="clear" w:color="auto" w:fill="auto"/>
          </w:tcPr>
          <w:p w14:paraId="3C558F75" w14:textId="77777777" w:rsidR="000C0E8A" w:rsidRDefault="000C0E8A">
            <w:pPr>
              <w:rPr>
                <w:rFonts w:ascii="Arial" w:hAnsi="Arial" w:cs="Arial"/>
                <w:sz w:val="22"/>
                <w:szCs w:val="22"/>
              </w:rPr>
            </w:pPr>
          </w:p>
        </w:tc>
        <w:tc>
          <w:tcPr>
            <w:tcW w:w="3404" w:type="dxa"/>
            <w:shd w:val="clear" w:color="auto" w:fill="auto"/>
          </w:tcPr>
          <w:p w14:paraId="396D435C" w14:textId="77777777" w:rsidR="000C0E8A" w:rsidRDefault="000C0E8A">
            <w:pPr>
              <w:rPr>
                <w:rFonts w:ascii="Arial" w:hAnsi="Arial" w:cs="Arial"/>
                <w:sz w:val="22"/>
                <w:szCs w:val="22"/>
              </w:rPr>
            </w:pPr>
          </w:p>
        </w:tc>
        <w:tc>
          <w:tcPr>
            <w:tcW w:w="2977" w:type="dxa"/>
            <w:shd w:val="clear" w:color="auto" w:fill="auto"/>
          </w:tcPr>
          <w:p w14:paraId="2FBE01AE" w14:textId="77777777" w:rsidR="000C0E8A" w:rsidRDefault="000C0E8A">
            <w:pPr>
              <w:rPr>
                <w:rFonts w:ascii="Arial" w:hAnsi="Arial" w:cs="Arial"/>
                <w:sz w:val="22"/>
                <w:szCs w:val="22"/>
              </w:rPr>
            </w:pPr>
          </w:p>
        </w:tc>
      </w:tr>
      <w:tr w:rsidR="000C0E8A" w14:paraId="301BB8C5" w14:textId="77777777">
        <w:tc>
          <w:tcPr>
            <w:tcW w:w="2691" w:type="dxa"/>
            <w:shd w:val="clear" w:color="auto" w:fill="auto"/>
          </w:tcPr>
          <w:p w14:paraId="3FF975A8" w14:textId="77777777" w:rsidR="000C0E8A" w:rsidRDefault="000C0E8A">
            <w:pPr>
              <w:rPr>
                <w:rFonts w:ascii="Arial" w:hAnsi="Arial" w:cs="Arial"/>
                <w:sz w:val="22"/>
                <w:szCs w:val="22"/>
              </w:rPr>
            </w:pPr>
          </w:p>
        </w:tc>
        <w:tc>
          <w:tcPr>
            <w:tcW w:w="3404" w:type="dxa"/>
            <w:shd w:val="clear" w:color="auto" w:fill="auto"/>
          </w:tcPr>
          <w:p w14:paraId="60237AFB" w14:textId="77777777" w:rsidR="000C0E8A" w:rsidRDefault="000C0E8A">
            <w:pPr>
              <w:rPr>
                <w:rFonts w:ascii="Arial" w:hAnsi="Arial" w:cs="Arial"/>
                <w:sz w:val="22"/>
                <w:szCs w:val="22"/>
              </w:rPr>
            </w:pPr>
          </w:p>
        </w:tc>
        <w:tc>
          <w:tcPr>
            <w:tcW w:w="2977" w:type="dxa"/>
            <w:shd w:val="clear" w:color="auto" w:fill="auto"/>
          </w:tcPr>
          <w:p w14:paraId="4C31DDED" w14:textId="77777777" w:rsidR="000C0E8A" w:rsidRDefault="000C0E8A">
            <w:pPr>
              <w:rPr>
                <w:rFonts w:ascii="Arial" w:hAnsi="Arial" w:cs="Arial"/>
                <w:sz w:val="22"/>
                <w:szCs w:val="22"/>
              </w:rPr>
            </w:pPr>
          </w:p>
        </w:tc>
      </w:tr>
      <w:tr w:rsidR="000C0E8A" w14:paraId="069A6276" w14:textId="77777777">
        <w:tc>
          <w:tcPr>
            <w:tcW w:w="2691" w:type="dxa"/>
            <w:shd w:val="clear" w:color="auto" w:fill="auto"/>
          </w:tcPr>
          <w:p w14:paraId="328C3815" w14:textId="77777777" w:rsidR="000C0E8A" w:rsidRDefault="000C0E8A">
            <w:pPr>
              <w:rPr>
                <w:rFonts w:ascii="Arial" w:hAnsi="Arial" w:cs="Arial"/>
                <w:sz w:val="22"/>
                <w:szCs w:val="22"/>
              </w:rPr>
            </w:pPr>
          </w:p>
        </w:tc>
        <w:tc>
          <w:tcPr>
            <w:tcW w:w="3404" w:type="dxa"/>
            <w:shd w:val="clear" w:color="auto" w:fill="auto"/>
          </w:tcPr>
          <w:p w14:paraId="4850414A" w14:textId="77777777" w:rsidR="000C0E8A" w:rsidRDefault="000C0E8A">
            <w:pPr>
              <w:rPr>
                <w:rFonts w:ascii="Arial" w:hAnsi="Arial" w:cs="Arial"/>
                <w:sz w:val="22"/>
                <w:szCs w:val="22"/>
              </w:rPr>
            </w:pPr>
          </w:p>
        </w:tc>
        <w:tc>
          <w:tcPr>
            <w:tcW w:w="2977" w:type="dxa"/>
            <w:shd w:val="clear" w:color="auto" w:fill="auto"/>
          </w:tcPr>
          <w:p w14:paraId="49E58E8C" w14:textId="77777777" w:rsidR="000C0E8A" w:rsidRDefault="000C0E8A">
            <w:pPr>
              <w:rPr>
                <w:rFonts w:ascii="Arial" w:hAnsi="Arial" w:cs="Arial"/>
                <w:sz w:val="22"/>
                <w:szCs w:val="22"/>
              </w:rPr>
            </w:pPr>
          </w:p>
        </w:tc>
      </w:tr>
    </w:tbl>
    <w:p w14:paraId="6BBFF4EC" w14:textId="77777777" w:rsidR="000C0E8A" w:rsidRDefault="000C0E8A"/>
    <w:p w14:paraId="3E23FA72" w14:textId="77777777" w:rsidR="000C0E8A" w:rsidRDefault="009216D0">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0C0E8A" w14:paraId="2BABDAE7" w14:textId="77777777">
        <w:tc>
          <w:tcPr>
            <w:tcW w:w="4819" w:type="dxa"/>
            <w:shd w:val="clear" w:color="auto" w:fill="auto"/>
          </w:tcPr>
          <w:p w14:paraId="054BB2DF" w14:textId="77777777" w:rsidR="000C0E8A" w:rsidRDefault="009216D0">
            <w:pPr>
              <w:rPr>
                <w:sz w:val="22"/>
                <w:szCs w:val="22"/>
              </w:rPr>
            </w:pPr>
            <w:r>
              <w:rPr>
                <w:rFonts w:ascii="Arial" w:hAnsi="Arial" w:cs="Arial"/>
                <w:sz w:val="22"/>
                <w:szCs w:val="22"/>
              </w:rPr>
              <w:t>Date first submitted to SC Chair</w:t>
            </w:r>
          </w:p>
        </w:tc>
        <w:tc>
          <w:tcPr>
            <w:tcW w:w="4252" w:type="dxa"/>
            <w:shd w:val="clear" w:color="auto" w:fill="auto"/>
          </w:tcPr>
          <w:p w14:paraId="4419C51E" w14:textId="30673F75" w:rsidR="000C0E8A" w:rsidRPr="007D4101" w:rsidRDefault="00761BF7">
            <w:pPr>
              <w:rPr>
                <w:rFonts w:ascii="Arial" w:hAnsi="Arial" w:cs="Arial"/>
                <w:sz w:val="22"/>
                <w:szCs w:val="22"/>
              </w:rPr>
            </w:pPr>
            <w:r w:rsidRPr="007D4101">
              <w:rPr>
                <w:rFonts w:ascii="Arial" w:hAnsi="Arial" w:cs="Arial"/>
                <w:sz w:val="22"/>
                <w:szCs w:val="22"/>
              </w:rPr>
              <w:t>April 2020</w:t>
            </w:r>
          </w:p>
        </w:tc>
      </w:tr>
      <w:tr w:rsidR="000C0E8A" w14:paraId="74E56C37" w14:textId="77777777">
        <w:tc>
          <w:tcPr>
            <w:tcW w:w="4819" w:type="dxa"/>
            <w:shd w:val="clear" w:color="auto" w:fill="auto"/>
          </w:tcPr>
          <w:p w14:paraId="7AF9A2EF" w14:textId="77777777" w:rsidR="000C0E8A" w:rsidRDefault="009216D0">
            <w:pPr>
              <w:rPr>
                <w:sz w:val="22"/>
                <w:szCs w:val="22"/>
              </w:rPr>
            </w:pPr>
            <w:r>
              <w:rPr>
                <w:rFonts w:ascii="Arial" w:hAnsi="Arial" w:cs="Arial"/>
                <w:sz w:val="22"/>
                <w:szCs w:val="22"/>
              </w:rPr>
              <w:t>Date of this revision (if different to above)</w:t>
            </w:r>
          </w:p>
        </w:tc>
        <w:tc>
          <w:tcPr>
            <w:tcW w:w="4252" w:type="dxa"/>
            <w:shd w:val="clear" w:color="auto" w:fill="auto"/>
          </w:tcPr>
          <w:p w14:paraId="55ECB4EB" w14:textId="77777777" w:rsidR="000C0E8A" w:rsidRDefault="000C0E8A">
            <w:pPr>
              <w:rPr>
                <w:sz w:val="22"/>
                <w:szCs w:val="22"/>
              </w:rPr>
            </w:pPr>
          </w:p>
        </w:tc>
      </w:tr>
    </w:tbl>
    <w:p w14:paraId="207579CF" w14:textId="77777777" w:rsidR="000C0E8A" w:rsidRDefault="009216D0">
      <w:pPr>
        <w:spacing w:before="120" w:after="120"/>
        <w:rPr>
          <w:rFonts w:ascii="Arial" w:hAnsi="Arial" w:cs="Arial"/>
          <w:b/>
        </w:rPr>
      </w:pPr>
      <w:r>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0C0E8A" w14:paraId="1BE6E419" w14:textId="77777777">
        <w:tc>
          <w:tcPr>
            <w:tcW w:w="9072" w:type="dxa"/>
            <w:shd w:val="clear" w:color="auto" w:fill="auto"/>
          </w:tcPr>
          <w:p w14:paraId="55CECF8B" w14:textId="77777777" w:rsidR="000C0E8A" w:rsidRDefault="000C0E8A">
            <w:pPr>
              <w:rPr>
                <w:rFonts w:ascii="Arial" w:hAnsi="Arial" w:cs="Arial"/>
                <w:sz w:val="22"/>
                <w:szCs w:val="22"/>
              </w:rPr>
            </w:pPr>
          </w:p>
          <w:p w14:paraId="79FCDD10" w14:textId="77777777" w:rsidR="000C0E8A" w:rsidRDefault="000C0E8A">
            <w:pPr>
              <w:rPr>
                <w:rFonts w:ascii="Arial" w:hAnsi="Arial" w:cs="Arial"/>
                <w:sz w:val="22"/>
                <w:szCs w:val="22"/>
              </w:rPr>
            </w:pPr>
          </w:p>
          <w:p w14:paraId="74B99948" w14:textId="77777777" w:rsidR="000C0E8A" w:rsidRDefault="000C0E8A">
            <w:pPr>
              <w:rPr>
                <w:rFonts w:ascii="Arial" w:hAnsi="Arial" w:cs="Arial"/>
                <w:sz w:val="22"/>
                <w:szCs w:val="22"/>
              </w:rPr>
            </w:pPr>
          </w:p>
          <w:p w14:paraId="0F3A63B5" w14:textId="77777777" w:rsidR="000C0E8A" w:rsidRDefault="000C0E8A">
            <w:pPr>
              <w:rPr>
                <w:rFonts w:ascii="Arial" w:hAnsi="Arial" w:cs="Arial"/>
                <w:sz w:val="22"/>
                <w:szCs w:val="22"/>
              </w:rPr>
            </w:pPr>
          </w:p>
          <w:p w14:paraId="4E0FD6AB" w14:textId="77777777" w:rsidR="000C0E8A" w:rsidRDefault="000C0E8A">
            <w:pPr>
              <w:rPr>
                <w:rFonts w:ascii="Arial" w:hAnsi="Arial" w:cs="Arial"/>
                <w:sz w:val="22"/>
                <w:szCs w:val="22"/>
              </w:rPr>
            </w:pPr>
          </w:p>
          <w:p w14:paraId="50AB35A3" w14:textId="77777777" w:rsidR="000C0E8A" w:rsidRDefault="000C0E8A">
            <w:pPr>
              <w:rPr>
                <w:rFonts w:ascii="Arial" w:hAnsi="Arial" w:cs="Arial"/>
                <w:sz w:val="22"/>
                <w:szCs w:val="22"/>
              </w:rPr>
            </w:pPr>
          </w:p>
          <w:p w14:paraId="53358E0C" w14:textId="77777777" w:rsidR="000C0E8A" w:rsidRDefault="000C0E8A">
            <w:pPr>
              <w:rPr>
                <w:rFonts w:ascii="Arial" w:hAnsi="Arial" w:cs="Arial"/>
                <w:sz w:val="22"/>
                <w:szCs w:val="22"/>
              </w:rPr>
            </w:pPr>
          </w:p>
          <w:p w14:paraId="48974869" w14:textId="77777777" w:rsidR="000C0E8A" w:rsidRDefault="000C0E8A">
            <w:pPr>
              <w:rPr>
                <w:rFonts w:ascii="Arial" w:hAnsi="Arial" w:cs="Arial"/>
                <w:sz w:val="22"/>
                <w:szCs w:val="22"/>
              </w:rPr>
            </w:pPr>
          </w:p>
          <w:p w14:paraId="6EC1CD1E" w14:textId="77777777" w:rsidR="000C0E8A" w:rsidRDefault="000C0E8A">
            <w:pPr>
              <w:rPr>
                <w:rFonts w:ascii="Arial" w:hAnsi="Arial" w:cs="Arial"/>
                <w:sz w:val="22"/>
                <w:szCs w:val="22"/>
              </w:rPr>
            </w:pPr>
          </w:p>
        </w:tc>
      </w:tr>
    </w:tbl>
    <w:p w14:paraId="03C951A7" w14:textId="77777777" w:rsidR="000C0E8A" w:rsidRDefault="000C0E8A">
      <w:pPr>
        <w:pStyle w:val="BodyTextIndent"/>
        <w:spacing w:before="120" w:after="120"/>
        <w:ind w:left="0" w:firstLine="0"/>
        <w:rPr>
          <w:rFonts w:ascii="Arial" w:hAnsi="Arial" w:cs="Arial"/>
          <w:b/>
          <w:color w:val="000000"/>
          <w:szCs w:val="24"/>
        </w:rPr>
      </w:pPr>
    </w:p>
    <w:p w14:paraId="5D4E1A7B" w14:textId="77777777" w:rsidR="000C0E8A" w:rsidRDefault="009216D0">
      <w:pPr>
        <w:rPr>
          <w:rFonts w:ascii="Arial" w:eastAsia="Times" w:hAnsi="Arial" w:cs="Arial"/>
          <w:b/>
          <w:color w:val="000000"/>
          <w:lang w:eastAsia="en-GB"/>
        </w:rPr>
      </w:pPr>
      <w:r>
        <w:br w:type="page"/>
      </w:r>
    </w:p>
    <w:p w14:paraId="1562BE3C" w14:textId="77777777" w:rsidR="000C0E8A" w:rsidRDefault="009216D0">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C007622" w14:textId="77777777" w:rsidR="000C0E8A" w:rsidRDefault="009216D0">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0C0E8A" w14:paraId="72205D1B" w14:textId="77777777">
        <w:tc>
          <w:tcPr>
            <w:tcW w:w="9072" w:type="dxa"/>
            <w:shd w:val="clear" w:color="auto" w:fill="auto"/>
          </w:tcPr>
          <w:p w14:paraId="58C0A900" w14:textId="72635A58" w:rsidR="000C0E8A" w:rsidRPr="007D4101" w:rsidRDefault="007D4101">
            <w:pPr>
              <w:spacing w:before="120" w:after="120"/>
              <w:rPr>
                <w:rFonts w:ascii="Arial" w:hAnsi="Arial" w:cs="Arial"/>
                <w:bCs/>
                <w:sz w:val="22"/>
                <w:szCs w:val="22"/>
              </w:rPr>
            </w:pPr>
            <w:r w:rsidRPr="007D4101">
              <w:rPr>
                <w:rFonts w:ascii="Arial" w:hAnsi="Arial" w:cs="Arial"/>
                <w:bCs/>
                <w:sz w:val="22"/>
                <w:szCs w:val="22"/>
              </w:rPr>
              <w:t>2020.114B.</w:t>
            </w:r>
            <w:r w:rsidR="00BB3DC8">
              <w:rPr>
                <w:rFonts w:ascii="Arial" w:hAnsi="Arial" w:cs="Arial"/>
                <w:bCs/>
                <w:sz w:val="22"/>
                <w:szCs w:val="22"/>
              </w:rPr>
              <w:t>R</w:t>
            </w:r>
            <w:r w:rsidRPr="007D4101">
              <w:rPr>
                <w:rFonts w:ascii="Arial" w:hAnsi="Arial" w:cs="Arial"/>
                <w:bCs/>
                <w:sz w:val="22"/>
                <w:szCs w:val="22"/>
              </w:rPr>
              <w:t>.</w:t>
            </w:r>
            <w:r w:rsidR="009216D0" w:rsidRPr="007D4101">
              <w:rPr>
                <w:rFonts w:ascii="Arial" w:hAnsi="Arial" w:cs="Arial"/>
                <w:bCs/>
                <w:sz w:val="22"/>
                <w:szCs w:val="22"/>
              </w:rPr>
              <w:t>Paulinoviridae.xlsx</w:t>
            </w:r>
          </w:p>
        </w:tc>
      </w:tr>
    </w:tbl>
    <w:p w14:paraId="5EA0DB87" w14:textId="77777777" w:rsidR="000C0E8A" w:rsidRDefault="009216D0">
      <w:pPr>
        <w:spacing w:before="120" w:after="120"/>
        <w:rPr>
          <w:rFonts w:ascii="Arial" w:hAnsi="Arial" w:cs="Arial"/>
          <w:color w:val="0000FF"/>
          <w:sz w:val="20"/>
        </w:rPr>
      </w:pPr>
      <w:r>
        <w:rPr>
          <w:rFonts w:ascii="Arial" w:hAnsi="Arial" w:cs="Arial"/>
          <w:b/>
        </w:rPr>
        <w:t>Abstract</w:t>
      </w:r>
    </w:p>
    <w:p w14:paraId="5C12BAA9" w14:textId="0E926B52" w:rsidR="000C0E8A" w:rsidRDefault="000C0E8A">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0C0E8A" w14:paraId="06B0D216" w14:textId="77777777">
        <w:tc>
          <w:tcPr>
            <w:tcW w:w="9072" w:type="dxa"/>
            <w:shd w:val="clear" w:color="auto" w:fill="auto"/>
          </w:tcPr>
          <w:p w14:paraId="558FBF75" w14:textId="40A47EE1" w:rsidR="000C0E8A" w:rsidRPr="007D4101" w:rsidRDefault="009216D0">
            <w:pPr>
              <w:rPr>
                <w:sz w:val="22"/>
                <w:szCs w:val="22"/>
              </w:rPr>
            </w:pPr>
            <w:r w:rsidRPr="007D4101">
              <w:rPr>
                <w:rFonts w:ascii="Arial" w:hAnsi="Arial" w:cs="Arial"/>
                <w:sz w:val="22"/>
                <w:szCs w:val="22"/>
              </w:rPr>
              <w:t xml:space="preserve">Order </w:t>
            </w:r>
            <w:proofErr w:type="spellStart"/>
            <w:r w:rsidRPr="007D4101">
              <w:rPr>
                <w:rFonts w:ascii="Arial" w:hAnsi="Arial" w:cs="Arial"/>
                <w:i/>
                <w:iCs/>
                <w:sz w:val="22"/>
                <w:szCs w:val="22"/>
              </w:rPr>
              <w:t>Tubulavirales</w:t>
            </w:r>
            <w:proofErr w:type="spellEnd"/>
            <w:r w:rsidRPr="007D4101">
              <w:rPr>
                <w:rFonts w:ascii="Arial" w:hAnsi="Arial" w:cs="Arial"/>
                <w:sz w:val="22"/>
                <w:szCs w:val="22"/>
              </w:rPr>
              <w:t xml:space="preserve"> currently includes two families, </w:t>
            </w:r>
            <w:proofErr w:type="spellStart"/>
            <w:r w:rsidRPr="007D4101">
              <w:rPr>
                <w:rFonts w:ascii="Arial" w:hAnsi="Arial" w:cs="Arial"/>
                <w:i/>
                <w:iCs/>
                <w:sz w:val="22"/>
                <w:szCs w:val="22"/>
              </w:rPr>
              <w:t>Inoviridae</w:t>
            </w:r>
            <w:proofErr w:type="spellEnd"/>
            <w:r w:rsidRPr="007D4101">
              <w:rPr>
                <w:rFonts w:ascii="Arial" w:hAnsi="Arial" w:cs="Arial"/>
                <w:sz w:val="22"/>
                <w:szCs w:val="22"/>
              </w:rPr>
              <w:t xml:space="preserve"> and </w:t>
            </w:r>
            <w:proofErr w:type="spellStart"/>
            <w:r w:rsidRPr="007D4101">
              <w:rPr>
                <w:rFonts w:ascii="Arial" w:hAnsi="Arial" w:cs="Arial"/>
                <w:i/>
                <w:iCs/>
                <w:sz w:val="22"/>
                <w:szCs w:val="22"/>
              </w:rPr>
              <w:t>Plectroviridae</w:t>
            </w:r>
            <w:proofErr w:type="spellEnd"/>
            <w:r w:rsidRPr="007D4101">
              <w:rPr>
                <w:rFonts w:ascii="Arial" w:hAnsi="Arial" w:cs="Arial"/>
                <w:sz w:val="22"/>
                <w:szCs w:val="22"/>
              </w:rPr>
              <w:t>. Phylogenetic and whole-genome-alignment criteria have been outlined to define species and genera within this order, whereas higher-order ranks (e.g.</w:t>
            </w:r>
            <w:r w:rsidR="007D4101" w:rsidRPr="007D4101">
              <w:rPr>
                <w:rFonts w:ascii="Arial" w:hAnsi="Arial" w:cs="Arial"/>
                <w:sz w:val="22"/>
                <w:szCs w:val="22"/>
              </w:rPr>
              <w:t>,</w:t>
            </w:r>
            <w:r w:rsidRPr="007D4101">
              <w:rPr>
                <w:rFonts w:ascii="Arial" w:hAnsi="Arial" w:cs="Arial"/>
                <w:sz w:val="22"/>
                <w:szCs w:val="22"/>
              </w:rPr>
              <w:t xml:space="preserve"> family) remain challenging to delineate based on the same features. Here we propose to use gene content as a criterion to delineate family-level groups in the </w:t>
            </w:r>
            <w:proofErr w:type="spellStart"/>
            <w:r w:rsidRPr="007D4101">
              <w:rPr>
                <w:rFonts w:ascii="Arial" w:hAnsi="Arial" w:cs="Arial"/>
                <w:i/>
                <w:iCs/>
                <w:sz w:val="22"/>
                <w:szCs w:val="22"/>
              </w:rPr>
              <w:t>Tubulavirales</w:t>
            </w:r>
            <w:proofErr w:type="spellEnd"/>
            <w:r w:rsidRPr="007D4101">
              <w:rPr>
                <w:rFonts w:ascii="Arial" w:hAnsi="Arial" w:cs="Arial"/>
                <w:sz w:val="22"/>
                <w:szCs w:val="22"/>
              </w:rPr>
              <w:t xml:space="preserve"> order. We verified that this criterion was consistent with currently established families, genera, and species. Then, we use this criterion to delineate a group within the </w:t>
            </w:r>
            <w:proofErr w:type="spellStart"/>
            <w:r w:rsidRPr="007D4101">
              <w:rPr>
                <w:rFonts w:ascii="Arial" w:hAnsi="Arial" w:cs="Arial"/>
                <w:i/>
                <w:iCs/>
                <w:sz w:val="22"/>
                <w:szCs w:val="22"/>
              </w:rPr>
              <w:t>Tubulavirales</w:t>
            </w:r>
            <w:proofErr w:type="spellEnd"/>
            <w:r w:rsidRPr="007D4101">
              <w:rPr>
                <w:rFonts w:ascii="Arial" w:hAnsi="Arial" w:cs="Arial"/>
                <w:iCs/>
                <w:sz w:val="22"/>
                <w:szCs w:val="22"/>
              </w:rPr>
              <w:t>, which is</w:t>
            </w:r>
            <w:r w:rsidRPr="007D4101">
              <w:rPr>
                <w:rFonts w:ascii="Arial" w:hAnsi="Arial" w:cs="Arial"/>
                <w:sz w:val="22"/>
                <w:szCs w:val="22"/>
              </w:rPr>
              <w:t xml:space="preserve"> distantly related to the currently existing families. To more accurately represent the evolutionary relationship of these divergent species with other members of the </w:t>
            </w:r>
            <w:proofErr w:type="spellStart"/>
            <w:r w:rsidRPr="007D4101">
              <w:rPr>
                <w:rFonts w:ascii="Arial" w:hAnsi="Arial" w:cs="Arial"/>
                <w:i/>
                <w:iCs/>
                <w:sz w:val="22"/>
                <w:szCs w:val="22"/>
              </w:rPr>
              <w:t>Tubulavirales</w:t>
            </w:r>
            <w:proofErr w:type="spellEnd"/>
            <w:r w:rsidRPr="007D4101">
              <w:rPr>
                <w:rFonts w:ascii="Arial" w:hAnsi="Arial" w:cs="Arial"/>
                <w:sz w:val="22"/>
                <w:szCs w:val="22"/>
              </w:rPr>
              <w:t xml:space="preserve">, we propose to create a third family, the </w:t>
            </w:r>
            <w:proofErr w:type="spellStart"/>
            <w:r w:rsidRPr="007D4101">
              <w:rPr>
                <w:rFonts w:ascii="Arial" w:hAnsi="Arial" w:cs="Arial"/>
                <w:i/>
                <w:iCs/>
                <w:sz w:val="22"/>
                <w:szCs w:val="22"/>
              </w:rPr>
              <w:t>Paulinoviridae</w:t>
            </w:r>
            <w:proofErr w:type="spellEnd"/>
            <w:r w:rsidRPr="007D4101">
              <w:rPr>
                <w:rFonts w:ascii="Arial" w:hAnsi="Arial" w:cs="Arial"/>
                <w:sz w:val="22"/>
                <w:szCs w:val="22"/>
              </w:rPr>
              <w:t xml:space="preserve">, and move genera </w:t>
            </w:r>
            <w:proofErr w:type="spellStart"/>
            <w:r w:rsidRPr="007D4101">
              <w:rPr>
                <w:rFonts w:ascii="Arial" w:hAnsi="Arial" w:cs="Arial"/>
                <w:i/>
                <w:iCs/>
                <w:sz w:val="22"/>
                <w:szCs w:val="22"/>
              </w:rPr>
              <w:t>Bifilivirus</w:t>
            </w:r>
            <w:proofErr w:type="spellEnd"/>
            <w:r w:rsidRPr="007D4101">
              <w:rPr>
                <w:rFonts w:ascii="Arial" w:hAnsi="Arial" w:cs="Arial"/>
                <w:sz w:val="22"/>
                <w:szCs w:val="22"/>
              </w:rPr>
              <w:t xml:space="preserve"> and </w:t>
            </w:r>
            <w:proofErr w:type="spellStart"/>
            <w:r w:rsidRPr="007D4101">
              <w:rPr>
                <w:rFonts w:ascii="Arial" w:hAnsi="Arial" w:cs="Arial"/>
                <w:i/>
                <w:iCs/>
                <w:sz w:val="22"/>
                <w:szCs w:val="22"/>
              </w:rPr>
              <w:t>Thomixvirus</w:t>
            </w:r>
            <w:proofErr w:type="spellEnd"/>
            <w:r w:rsidRPr="007D4101">
              <w:rPr>
                <w:rFonts w:ascii="Arial" w:hAnsi="Arial" w:cs="Arial"/>
                <w:sz w:val="22"/>
                <w:szCs w:val="22"/>
              </w:rPr>
              <w:t xml:space="preserve"> into this new family. Furthermore, the new </w:t>
            </w:r>
            <w:proofErr w:type="spellStart"/>
            <w:r w:rsidRPr="007D4101">
              <w:rPr>
                <w:rFonts w:ascii="Arial" w:hAnsi="Arial" w:cs="Arial"/>
                <w:i/>
                <w:iCs/>
                <w:sz w:val="22"/>
                <w:szCs w:val="22"/>
              </w:rPr>
              <w:t>Paulinoviridae</w:t>
            </w:r>
            <w:proofErr w:type="spellEnd"/>
            <w:r w:rsidRPr="007D4101">
              <w:rPr>
                <w:rFonts w:ascii="Arial" w:hAnsi="Arial" w:cs="Arial"/>
                <w:sz w:val="22"/>
                <w:szCs w:val="22"/>
              </w:rPr>
              <w:t xml:space="preserve"> family would include the only known member of the </w:t>
            </w:r>
            <w:proofErr w:type="spellStart"/>
            <w:r w:rsidRPr="007D4101">
              <w:rPr>
                <w:rFonts w:ascii="Arial" w:hAnsi="Arial" w:cs="Arial"/>
                <w:i/>
                <w:iCs/>
                <w:sz w:val="22"/>
                <w:szCs w:val="22"/>
              </w:rPr>
              <w:t>Tubulavirales</w:t>
            </w:r>
            <w:proofErr w:type="spellEnd"/>
            <w:r w:rsidRPr="007D4101">
              <w:rPr>
                <w:rFonts w:ascii="Arial" w:hAnsi="Arial" w:cs="Arial"/>
                <w:i/>
                <w:iCs/>
                <w:sz w:val="22"/>
                <w:szCs w:val="22"/>
              </w:rPr>
              <w:t xml:space="preserve"> </w:t>
            </w:r>
            <w:r w:rsidRPr="007D4101">
              <w:rPr>
                <w:rFonts w:ascii="Arial" w:hAnsi="Arial" w:cs="Arial"/>
                <w:sz w:val="22"/>
                <w:szCs w:val="22"/>
              </w:rPr>
              <w:t xml:space="preserve">infecting hosts within the phyla Actinobacteria, </w:t>
            </w:r>
            <w:proofErr w:type="spellStart"/>
            <w:r w:rsidRPr="007D4101">
              <w:rPr>
                <w:rFonts w:ascii="Arial" w:hAnsi="Arial" w:cs="Arial"/>
                <w:sz w:val="22"/>
                <w:szCs w:val="22"/>
              </w:rPr>
              <w:t>Deinococcus</w:t>
            </w:r>
            <w:proofErr w:type="spellEnd"/>
            <w:r w:rsidRPr="007D4101">
              <w:rPr>
                <w:rFonts w:ascii="Arial" w:hAnsi="Arial" w:cs="Arial"/>
                <w:sz w:val="22"/>
                <w:szCs w:val="22"/>
              </w:rPr>
              <w:t>-Thermus, and Firmicutes.</w:t>
            </w:r>
          </w:p>
        </w:tc>
      </w:tr>
    </w:tbl>
    <w:p w14:paraId="48783CA8" w14:textId="77777777" w:rsidR="000C0E8A" w:rsidRDefault="009216D0">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0C0E8A" w14:paraId="342A32EC" w14:textId="77777777">
        <w:trPr>
          <w:trHeight w:val="1566"/>
        </w:trPr>
        <w:tc>
          <w:tcPr>
            <w:tcW w:w="9228" w:type="dxa"/>
            <w:shd w:val="clear" w:color="auto" w:fill="auto"/>
          </w:tcPr>
          <w:p w14:paraId="061C2F2E" w14:textId="72EB1C2A" w:rsidR="000C0E8A" w:rsidRDefault="000C0E8A" w:rsidP="007D4101">
            <w:pPr>
              <w:pStyle w:val="BodyTextIndent"/>
              <w:spacing w:after="120"/>
              <w:ind w:left="0" w:firstLine="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0C0E8A" w14:paraId="26623E9A" w14:textId="77777777">
              <w:tc>
                <w:tcPr>
                  <w:tcW w:w="9002" w:type="dxa"/>
                  <w:shd w:val="clear" w:color="auto" w:fill="auto"/>
                </w:tcPr>
                <w:p w14:paraId="024AB861" w14:textId="77777777" w:rsidR="000C0E8A" w:rsidRPr="007D4101" w:rsidRDefault="009216D0">
                  <w:pPr>
                    <w:jc w:val="both"/>
                    <w:rPr>
                      <w:rFonts w:ascii="Arial" w:hAnsi="Arial"/>
                      <w:sz w:val="22"/>
                      <w:szCs w:val="22"/>
                    </w:rPr>
                  </w:pPr>
                  <w:r w:rsidRPr="007D4101">
                    <w:rPr>
                      <w:rFonts w:ascii="Arial" w:hAnsi="Arial"/>
                      <w:sz w:val="22"/>
                      <w:szCs w:val="22"/>
                    </w:rPr>
                    <w:t xml:space="preserve">Order </w:t>
                  </w:r>
                  <w:proofErr w:type="spellStart"/>
                  <w:r w:rsidRPr="007D4101">
                    <w:rPr>
                      <w:rFonts w:ascii="Arial" w:hAnsi="Arial"/>
                      <w:i/>
                      <w:iCs/>
                      <w:sz w:val="22"/>
                      <w:szCs w:val="22"/>
                    </w:rPr>
                    <w:t>Tubulavirales</w:t>
                  </w:r>
                  <w:proofErr w:type="spellEnd"/>
                  <w:r w:rsidRPr="007D4101">
                    <w:rPr>
                      <w:rFonts w:ascii="Arial" w:hAnsi="Arial"/>
                      <w:sz w:val="22"/>
                      <w:szCs w:val="22"/>
                    </w:rPr>
                    <w:t xml:space="preserve"> includes two families, </w:t>
                  </w:r>
                  <w:proofErr w:type="spellStart"/>
                  <w:r w:rsidRPr="007D4101">
                    <w:rPr>
                      <w:rFonts w:ascii="Arial" w:hAnsi="Arial"/>
                      <w:i/>
                      <w:iCs/>
                      <w:sz w:val="22"/>
                      <w:szCs w:val="22"/>
                    </w:rPr>
                    <w:t>Inoviridae</w:t>
                  </w:r>
                  <w:proofErr w:type="spellEnd"/>
                  <w:r w:rsidRPr="007D4101">
                    <w:rPr>
                      <w:rFonts w:ascii="Arial" w:hAnsi="Arial"/>
                      <w:sz w:val="22"/>
                      <w:szCs w:val="22"/>
                    </w:rPr>
                    <w:t xml:space="preserve"> and </w:t>
                  </w:r>
                  <w:proofErr w:type="spellStart"/>
                  <w:r w:rsidRPr="007D4101">
                    <w:rPr>
                      <w:rFonts w:ascii="Arial" w:hAnsi="Arial"/>
                      <w:i/>
                      <w:iCs/>
                      <w:sz w:val="22"/>
                      <w:szCs w:val="22"/>
                    </w:rPr>
                    <w:t>Plectroviridae</w:t>
                  </w:r>
                  <w:proofErr w:type="spellEnd"/>
                  <w:r w:rsidRPr="007D4101">
                    <w:rPr>
                      <w:rFonts w:ascii="Arial" w:hAnsi="Arial"/>
                      <w:sz w:val="22"/>
                      <w:szCs w:val="22"/>
                    </w:rPr>
                    <w:t xml:space="preserve">, of filamentous and rod-shaped bacteriophages, respectively. Criteria have been outlined to define species and genera within the </w:t>
                  </w:r>
                  <w:proofErr w:type="spellStart"/>
                  <w:r w:rsidRPr="007D4101">
                    <w:rPr>
                      <w:rFonts w:ascii="Arial" w:hAnsi="Arial"/>
                      <w:i/>
                      <w:iCs/>
                      <w:sz w:val="22"/>
                      <w:szCs w:val="22"/>
                    </w:rPr>
                    <w:t>Tubulavirales</w:t>
                  </w:r>
                  <w:proofErr w:type="spellEnd"/>
                  <w:r w:rsidRPr="007D4101">
                    <w:rPr>
                      <w:rFonts w:ascii="Arial" w:hAnsi="Arial"/>
                      <w:sz w:val="22"/>
                      <w:szCs w:val="22"/>
                    </w:rPr>
                    <w:t xml:space="preserve"> order. Namely, monophyletic clades including taxa with ≥95% global DNA sequence identity is used as a species demarcation criterion, whereas genera are defined using ≥90% amino acid identity in the core proteins. However, establishing higher-order ranks (e.g., families) is more challenging. Only a handful of genes are recognizably similar between members of different </w:t>
                  </w:r>
                  <w:proofErr w:type="spellStart"/>
                  <w:r w:rsidRPr="007D4101">
                    <w:rPr>
                      <w:rFonts w:ascii="Arial" w:hAnsi="Arial"/>
                      <w:i/>
                      <w:iCs/>
                      <w:sz w:val="22"/>
                      <w:szCs w:val="22"/>
                    </w:rPr>
                    <w:t>Tubulavirales</w:t>
                  </w:r>
                  <w:proofErr w:type="spellEnd"/>
                  <w:r w:rsidRPr="007D4101">
                    <w:rPr>
                      <w:rFonts w:ascii="Arial" w:hAnsi="Arial"/>
                      <w:sz w:val="22"/>
                      <w:szCs w:val="22"/>
                    </w:rPr>
                    <w:t xml:space="preserve"> genera and the sequence similarity is typically very low. Even for the single protein shared across all members of the </w:t>
                  </w:r>
                  <w:proofErr w:type="spellStart"/>
                  <w:r w:rsidRPr="007D4101">
                    <w:rPr>
                      <w:rFonts w:ascii="Arial" w:hAnsi="Arial"/>
                      <w:i/>
                      <w:iCs/>
                      <w:sz w:val="22"/>
                      <w:szCs w:val="22"/>
                    </w:rPr>
                    <w:t>Tubulavirales</w:t>
                  </w:r>
                  <w:proofErr w:type="spellEnd"/>
                  <w:r w:rsidRPr="007D4101">
                    <w:rPr>
                      <w:rFonts w:ascii="Arial" w:hAnsi="Arial"/>
                      <w:sz w:val="22"/>
                      <w:szCs w:val="22"/>
                    </w:rPr>
                    <w:t xml:space="preserve">, namely, the morphogenesis protein, the amino acid similarity when comparing different genera typically ranges between 15 and 25% (as calculated with SDT; </w:t>
                  </w:r>
                  <w:proofErr w:type="spellStart"/>
                  <w:r w:rsidRPr="007D4101">
                    <w:rPr>
                      <w:rFonts w:ascii="Arial" w:hAnsi="Arial"/>
                      <w:sz w:val="22"/>
                      <w:szCs w:val="22"/>
                    </w:rPr>
                    <w:t>Muhire</w:t>
                  </w:r>
                  <w:proofErr w:type="spellEnd"/>
                  <w:r w:rsidRPr="007D4101">
                    <w:rPr>
                      <w:rFonts w:ascii="Arial" w:hAnsi="Arial"/>
                      <w:sz w:val="22"/>
                      <w:szCs w:val="22"/>
                    </w:rPr>
                    <w:t xml:space="preserve"> et al., 2014). Hence, while this gene can (and is) used to infer phylogenies and delineate monophyletic clades corresponding to genera and species, the deep-branching clades in these trees, which would correspond to ~ family-level groups, have low support values and confidence.</w:t>
                  </w:r>
                </w:p>
                <w:p w14:paraId="07900B5A" w14:textId="77777777" w:rsidR="000C0E8A" w:rsidRPr="007D4101" w:rsidRDefault="000C0E8A">
                  <w:pPr>
                    <w:jc w:val="both"/>
                    <w:rPr>
                      <w:rFonts w:ascii="Arial" w:hAnsi="Arial" w:cs="Arial"/>
                      <w:color w:val="000000"/>
                      <w:sz w:val="22"/>
                      <w:szCs w:val="22"/>
                    </w:rPr>
                  </w:pPr>
                </w:p>
                <w:p w14:paraId="3C103252" w14:textId="77777777" w:rsidR="000C0E8A" w:rsidRPr="007D4101" w:rsidRDefault="009216D0">
                  <w:pPr>
                    <w:jc w:val="both"/>
                    <w:rPr>
                      <w:sz w:val="22"/>
                      <w:szCs w:val="22"/>
                    </w:rPr>
                  </w:pPr>
                  <w:r w:rsidRPr="007D4101">
                    <w:rPr>
                      <w:rFonts w:ascii="Arial" w:hAnsi="Arial"/>
                      <w:sz w:val="22"/>
                      <w:szCs w:val="22"/>
                    </w:rPr>
                    <w:t xml:space="preserve">Instead of monophyletic clades and high sequence similarity, we propose using gene content as a criterion to delineate family-level groups in the </w:t>
                  </w:r>
                  <w:proofErr w:type="spellStart"/>
                  <w:r w:rsidRPr="007D4101">
                    <w:rPr>
                      <w:rFonts w:ascii="Arial" w:hAnsi="Arial"/>
                      <w:i/>
                      <w:iCs/>
                      <w:sz w:val="22"/>
                      <w:szCs w:val="22"/>
                    </w:rPr>
                    <w:t>Tubulavirales</w:t>
                  </w:r>
                  <w:proofErr w:type="spellEnd"/>
                  <w:r w:rsidRPr="007D4101">
                    <w:rPr>
                      <w:rFonts w:ascii="Arial" w:hAnsi="Arial"/>
                      <w:sz w:val="22"/>
                      <w:szCs w:val="22"/>
                    </w:rPr>
                    <w:t xml:space="preserve"> order. First, we verified that this approach was relevant by including known </w:t>
                  </w:r>
                  <w:proofErr w:type="spellStart"/>
                  <w:r w:rsidRPr="007D4101">
                    <w:rPr>
                      <w:rFonts w:ascii="Arial" w:hAnsi="Arial"/>
                      <w:i/>
                      <w:iCs/>
                      <w:sz w:val="22"/>
                      <w:szCs w:val="22"/>
                    </w:rPr>
                    <w:t>Tubulavirales</w:t>
                  </w:r>
                  <w:proofErr w:type="spellEnd"/>
                  <w:r w:rsidRPr="007D4101">
                    <w:rPr>
                      <w:rFonts w:ascii="Arial" w:hAnsi="Arial"/>
                      <w:sz w:val="22"/>
                      <w:szCs w:val="22"/>
                    </w:rPr>
                    <w:t xml:space="preserve"> isolates and representative prophages (Roux et al., 2019) in a gene-content-based network (Fig. 1). The network mostly recapitulated the established taxonomy within the </w:t>
                  </w:r>
                  <w:proofErr w:type="spellStart"/>
                  <w:r w:rsidRPr="007D4101">
                    <w:rPr>
                      <w:rFonts w:ascii="Arial" w:hAnsi="Arial" w:cs="Arial"/>
                      <w:i/>
                      <w:iCs/>
                      <w:color w:val="000000"/>
                      <w:sz w:val="22"/>
                      <w:szCs w:val="22"/>
                    </w:rPr>
                    <w:t>Tubulavirales</w:t>
                  </w:r>
                  <w:proofErr w:type="spellEnd"/>
                  <w:r w:rsidRPr="007D4101">
                    <w:rPr>
                      <w:rFonts w:ascii="Arial" w:hAnsi="Arial"/>
                      <w:sz w:val="22"/>
                      <w:szCs w:val="22"/>
                    </w:rPr>
                    <w:t xml:space="preserve"> order, with the two families, </w:t>
                  </w:r>
                  <w:proofErr w:type="spellStart"/>
                  <w:r w:rsidRPr="007D4101">
                    <w:rPr>
                      <w:rFonts w:ascii="Arial" w:hAnsi="Arial"/>
                      <w:i/>
                      <w:iCs/>
                      <w:sz w:val="22"/>
                      <w:szCs w:val="22"/>
                    </w:rPr>
                    <w:t>Inoviridae</w:t>
                  </w:r>
                  <w:proofErr w:type="spellEnd"/>
                  <w:r w:rsidRPr="007D4101">
                    <w:rPr>
                      <w:rFonts w:ascii="Arial" w:hAnsi="Arial"/>
                      <w:sz w:val="22"/>
                      <w:szCs w:val="22"/>
                    </w:rPr>
                    <w:t xml:space="preserve"> and </w:t>
                  </w:r>
                  <w:proofErr w:type="spellStart"/>
                  <w:r w:rsidRPr="007D4101">
                    <w:rPr>
                      <w:rFonts w:ascii="Arial" w:hAnsi="Arial"/>
                      <w:i/>
                      <w:iCs/>
                      <w:sz w:val="22"/>
                      <w:szCs w:val="22"/>
                    </w:rPr>
                    <w:t>Plectroviridae</w:t>
                  </w:r>
                  <w:proofErr w:type="spellEnd"/>
                  <w:r w:rsidRPr="007D4101">
                    <w:rPr>
                      <w:rFonts w:ascii="Arial" w:hAnsi="Arial"/>
                      <w:sz w:val="22"/>
                      <w:szCs w:val="22"/>
                    </w:rPr>
                    <w:t xml:space="preserve">, forming two well-separated modules. However, a group of sequences including 12 prophages and three isolates, Propionibacterium phage B5 (genus </w:t>
                  </w:r>
                  <w:proofErr w:type="spellStart"/>
                  <w:r w:rsidRPr="007D4101">
                    <w:rPr>
                      <w:rFonts w:ascii="Arial" w:hAnsi="Arial"/>
                      <w:i/>
                      <w:iCs/>
                      <w:sz w:val="22"/>
                      <w:szCs w:val="22"/>
                    </w:rPr>
                    <w:t>Bifilivirus</w:t>
                  </w:r>
                  <w:proofErr w:type="spellEnd"/>
                  <w:r w:rsidRPr="007D4101">
                    <w:rPr>
                      <w:rFonts w:ascii="Arial" w:hAnsi="Arial"/>
                      <w:sz w:val="22"/>
                      <w:szCs w:val="22"/>
                    </w:rPr>
                    <w:t xml:space="preserve">) and Thermus phages OH3 and OH16, which are classified into a single species (genus </w:t>
                  </w:r>
                  <w:proofErr w:type="spellStart"/>
                  <w:r w:rsidRPr="007D4101">
                    <w:rPr>
                      <w:rFonts w:ascii="Arial" w:hAnsi="Arial"/>
                      <w:i/>
                      <w:iCs/>
                      <w:sz w:val="22"/>
                      <w:szCs w:val="22"/>
                    </w:rPr>
                    <w:t>Thomixvirus</w:t>
                  </w:r>
                  <w:proofErr w:type="spellEnd"/>
                  <w:r w:rsidRPr="007D4101">
                    <w:rPr>
                      <w:rFonts w:ascii="Arial" w:hAnsi="Arial"/>
                      <w:sz w:val="22"/>
                      <w:szCs w:val="22"/>
                    </w:rPr>
                    <w:t xml:space="preserve">), all currently included into the family </w:t>
                  </w:r>
                  <w:proofErr w:type="spellStart"/>
                  <w:r w:rsidRPr="007D4101">
                    <w:rPr>
                      <w:rFonts w:ascii="Arial" w:hAnsi="Arial"/>
                      <w:i/>
                      <w:iCs/>
                      <w:sz w:val="22"/>
                      <w:szCs w:val="22"/>
                    </w:rPr>
                    <w:t>Inoviridae</w:t>
                  </w:r>
                  <w:proofErr w:type="spellEnd"/>
                  <w:r w:rsidRPr="007D4101">
                    <w:rPr>
                      <w:rFonts w:ascii="Arial" w:hAnsi="Arial"/>
                      <w:sz w:val="22"/>
                      <w:szCs w:val="22"/>
                    </w:rPr>
                    <w:t xml:space="preserve">, clustered separately, suggesting a greater divergence of this group. We propose creating a third family in the order </w:t>
                  </w:r>
                  <w:proofErr w:type="spellStart"/>
                  <w:r w:rsidRPr="007D4101">
                    <w:rPr>
                      <w:rFonts w:ascii="Arial" w:hAnsi="Arial"/>
                      <w:i/>
                      <w:iCs/>
                      <w:sz w:val="22"/>
                      <w:szCs w:val="22"/>
                    </w:rPr>
                    <w:t>Tubulavirales</w:t>
                  </w:r>
                  <w:proofErr w:type="spellEnd"/>
                  <w:r w:rsidRPr="007D4101">
                    <w:rPr>
                      <w:rFonts w:ascii="Arial" w:hAnsi="Arial"/>
                      <w:sz w:val="22"/>
                      <w:szCs w:val="22"/>
                    </w:rPr>
                    <w:t xml:space="preserve">, the </w:t>
                  </w:r>
                  <w:proofErr w:type="spellStart"/>
                  <w:r w:rsidRPr="007D4101">
                    <w:rPr>
                      <w:rFonts w:ascii="Arial" w:hAnsi="Arial"/>
                      <w:i/>
                      <w:iCs/>
                      <w:sz w:val="22"/>
                      <w:szCs w:val="22"/>
                    </w:rPr>
                    <w:t>Paulinoviridae</w:t>
                  </w:r>
                  <w:proofErr w:type="spellEnd"/>
                  <w:r w:rsidRPr="007D4101">
                    <w:rPr>
                      <w:rFonts w:ascii="Arial" w:hAnsi="Arial"/>
                      <w:sz w:val="22"/>
                      <w:szCs w:val="22"/>
                    </w:rPr>
                    <w:t xml:space="preserve"> (see below), and moving genera </w:t>
                  </w:r>
                  <w:proofErr w:type="spellStart"/>
                  <w:r w:rsidRPr="007D4101">
                    <w:rPr>
                      <w:rFonts w:ascii="Arial" w:hAnsi="Arial"/>
                      <w:i/>
                      <w:iCs/>
                      <w:sz w:val="22"/>
                      <w:szCs w:val="22"/>
                    </w:rPr>
                    <w:t>Bifilivirus</w:t>
                  </w:r>
                  <w:proofErr w:type="spellEnd"/>
                  <w:r w:rsidRPr="007D4101">
                    <w:rPr>
                      <w:rFonts w:ascii="Arial" w:hAnsi="Arial"/>
                      <w:sz w:val="22"/>
                      <w:szCs w:val="22"/>
                    </w:rPr>
                    <w:t xml:space="preserve"> and </w:t>
                  </w:r>
                  <w:proofErr w:type="spellStart"/>
                  <w:r w:rsidRPr="007D4101">
                    <w:rPr>
                      <w:rFonts w:ascii="Arial" w:hAnsi="Arial"/>
                      <w:i/>
                      <w:iCs/>
                      <w:sz w:val="22"/>
                      <w:szCs w:val="22"/>
                    </w:rPr>
                    <w:t>Thomixvirus</w:t>
                  </w:r>
                  <w:proofErr w:type="spellEnd"/>
                  <w:r w:rsidRPr="007D4101">
                    <w:rPr>
                      <w:rFonts w:ascii="Arial" w:hAnsi="Arial"/>
                      <w:sz w:val="22"/>
                      <w:szCs w:val="22"/>
                    </w:rPr>
                    <w:t xml:space="preserve"> into this new family. This grouping is also consistent with a gene-content network analysis performed on a larger set of </w:t>
                  </w:r>
                  <w:proofErr w:type="spellStart"/>
                  <w:r w:rsidRPr="007D4101">
                    <w:rPr>
                      <w:rFonts w:ascii="Arial" w:hAnsi="Arial"/>
                      <w:sz w:val="22"/>
                      <w:szCs w:val="22"/>
                    </w:rPr>
                    <w:t>inovirus</w:t>
                  </w:r>
                  <w:proofErr w:type="spellEnd"/>
                  <w:r w:rsidRPr="007D4101">
                    <w:rPr>
                      <w:rFonts w:ascii="Arial" w:hAnsi="Arial"/>
                      <w:sz w:val="22"/>
                      <w:szCs w:val="22"/>
                    </w:rPr>
                    <w:t xml:space="preserve"> genomes, including &gt;10,000 </w:t>
                  </w:r>
                  <w:proofErr w:type="spellStart"/>
                  <w:r w:rsidRPr="007D4101">
                    <w:rPr>
                      <w:rFonts w:ascii="Arial" w:hAnsi="Arial"/>
                      <w:sz w:val="22"/>
                      <w:szCs w:val="22"/>
                    </w:rPr>
                    <w:t>inovirus</w:t>
                  </w:r>
                  <w:proofErr w:type="spellEnd"/>
                  <w:r w:rsidRPr="007D4101">
                    <w:rPr>
                      <w:rFonts w:ascii="Arial" w:hAnsi="Arial"/>
                      <w:sz w:val="22"/>
                      <w:szCs w:val="22"/>
                    </w:rPr>
                    <w:t xml:space="preserve">-like sequences (Roux et al., 2019). Notably, the three families would each be associated with a different type of host membrane, as also noted in the larger analysis: </w:t>
                  </w:r>
                  <w:r w:rsidRPr="007D4101">
                    <w:rPr>
                      <w:rFonts w:ascii="Arial" w:hAnsi="Arial"/>
                      <w:sz w:val="22"/>
                      <w:szCs w:val="22"/>
                    </w:rPr>
                    <w:lastRenderedPageBreak/>
                    <w:t xml:space="preserve">hosts of viruses in the </w:t>
                  </w:r>
                  <w:proofErr w:type="spellStart"/>
                  <w:r w:rsidRPr="007D4101">
                    <w:rPr>
                      <w:rFonts w:ascii="Arial" w:hAnsi="Arial"/>
                      <w:i/>
                      <w:iCs/>
                      <w:sz w:val="22"/>
                      <w:szCs w:val="22"/>
                    </w:rPr>
                    <w:t>Inoviridae</w:t>
                  </w:r>
                  <w:proofErr w:type="spellEnd"/>
                  <w:r w:rsidRPr="007D4101">
                    <w:rPr>
                      <w:rFonts w:ascii="Arial" w:hAnsi="Arial"/>
                      <w:sz w:val="22"/>
                      <w:szCs w:val="22"/>
                    </w:rPr>
                    <w:t xml:space="preserve"> family would be associated with Gram-negative bacteria with a lipopolysaccharide (LPS)-containing outer membrane, members of the </w:t>
                  </w:r>
                  <w:proofErr w:type="spellStart"/>
                  <w:r w:rsidRPr="007D4101">
                    <w:rPr>
                      <w:rFonts w:ascii="Arial" w:hAnsi="Arial"/>
                      <w:i/>
                      <w:iCs/>
                      <w:sz w:val="22"/>
                      <w:szCs w:val="22"/>
                    </w:rPr>
                    <w:t>Plectroviridae</w:t>
                  </w:r>
                  <w:proofErr w:type="spellEnd"/>
                  <w:r w:rsidRPr="007D4101">
                    <w:rPr>
                      <w:rFonts w:ascii="Arial" w:hAnsi="Arial"/>
                      <w:sz w:val="22"/>
                      <w:szCs w:val="22"/>
                    </w:rPr>
                    <w:t xml:space="preserve"> family would be </w:t>
                  </w:r>
                  <w:r w:rsidRPr="007D4101">
                    <w:rPr>
                      <w:rFonts w:ascii="Arial" w:hAnsi="Arial"/>
                      <w:i/>
                      <w:iCs/>
                      <w:sz w:val="22"/>
                      <w:szCs w:val="22"/>
                    </w:rPr>
                    <w:t>associated</w:t>
                  </w:r>
                  <w:r w:rsidRPr="007D4101">
                    <w:rPr>
                      <w:rFonts w:ascii="Arial" w:hAnsi="Arial"/>
                      <w:sz w:val="22"/>
                      <w:szCs w:val="22"/>
                    </w:rPr>
                    <w:t xml:space="preserve"> with wall-less hosts (i.e. bacteria within the Mollicutes order), and members of the new </w:t>
                  </w:r>
                  <w:proofErr w:type="spellStart"/>
                  <w:r w:rsidRPr="007D4101">
                    <w:rPr>
                      <w:rFonts w:ascii="Arial" w:hAnsi="Arial"/>
                      <w:i/>
                      <w:iCs/>
                      <w:sz w:val="22"/>
                      <w:szCs w:val="22"/>
                    </w:rPr>
                    <w:t>Paulinoviridae</w:t>
                  </w:r>
                  <w:proofErr w:type="spellEnd"/>
                  <w:r w:rsidRPr="007D4101">
                    <w:rPr>
                      <w:rFonts w:ascii="Arial" w:hAnsi="Arial"/>
                      <w:sz w:val="22"/>
                      <w:szCs w:val="22"/>
                    </w:rPr>
                    <w:t xml:space="preserve"> family would be associated with hosts without an LPS-containing outer membrane. In particular, the </w:t>
                  </w:r>
                  <w:proofErr w:type="spellStart"/>
                  <w:r w:rsidRPr="007D4101">
                    <w:rPr>
                      <w:rFonts w:ascii="Arial" w:hAnsi="Arial"/>
                      <w:i/>
                      <w:iCs/>
                      <w:sz w:val="22"/>
                      <w:szCs w:val="22"/>
                    </w:rPr>
                    <w:t>Paulinoviridae</w:t>
                  </w:r>
                  <w:proofErr w:type="spellEnd"/>
                  <w:r w:rsidRPr="007D4101">
                    <w:rPr>
                      <w:rFonts w:ascii="Arial" w:hAnsi="Arial"/>
                      <w:sz w:val="22"/>
                      <w:szCs w:val="22"/>
                    </w:rPr>
                    <w:t xml:space="preserve"> would include the three isolates, which have been cultivated on bacteria within the </w:t>
                  </w:r>
                  <w:r w:rsidRPr="007D4101">
                    <w:rPr>
                      <w:rFonts w:ascii="Arial" w:hAnsi="Arial"/>
                      <w:i/>
                      <w:iCs/>
                      <w:sz w:val="22"/>
                      <w:szCs w:val="22"/>
                    </w:rPr>
                    <w:t>Thermus</w:t>
                  </w:r>
                  <w:r w:rsidRPr="007D4101">
                    <w:rPr>
                      <w:rFonts w:ascii="Arial" w:hAnsi="Arial"/>
                      <w:sz w:val="22"/>
                      <w:szCs w:val="22"/>
                    </w:rPr>
                    <w:t xml:space="preserve"> and </w:t>
                  </w:r>
                  <w:r w:rsidRPr="007D4101">
                    <w:rPr>
                      <w:rFonts w:ascii="Arial" w:hAnsi="Arial"/>
                      <w:i/>
                      <w:iCs/>
                      <w:sz w:val="22"/>
                      <w:szCs w:val="22"/>
                    </w:rPr>
                    <w:t>Propionibacterium</w:t>
                  </w:r>
                  <w:r w:rsidRPr="007D4101">
                    <w:rPr>
                      <w:rFonts w:ascii="Arial" w:hAnsi="Arial"/>
                      <w:sz w:val="22"/>
                      <w:szCs w:val="22"/>
                    </w:rPr>
                    <w:t xml:space="preserve"> genera, and several prophages identified in the genomes of bacteria belonging to the phyla </w:t>
                  </w:r>
                  <w:r w:rsidRPr="007D4101">
                    <w:rPr>
                      <w:rFonts w:ascii="Arial" w:hAnsi="Arial"/>
                      <w:i/>
                      <w:iCs/>
                      <w:sz w:val="22"/>
                      <w:szCs w:val="22"/>
                    </w:rPr>
                    <w:t>Actinobacteria</w:t>
                  </w:r>
                  <w:r w:rsidRPr="007D4101">
                    <w:rPr>
                      <w:rFonts w:ascii="Arial" w:hAnsi="Arial"/>
                      <w:sz w:val="22"/>
                      <w:szCs w:val="22"/>
                    </w:rPr>
                    <w:t xml:space="preserve">, </w:t>
                  </w:r>
                  <w:proofErr w:type="spellStart"/>
                  <w:r w:rsidRPr="007D4101">
                    <w:rPr>
                      <w:rFonts w:ascii="Arial" w:hAnsi="Arial"/>
                      <w:i/>
                      <w:iCs/>
                      <w:sz w:val="22"/>
                      <w:szCs w:val="22"/>
                    </w:rPr>
                    <w:t>Deinococcus</w:t>
                  </w:r>
                  <w:proofErr w:type="spellEnd"/>
                  <w:r w:rsidRPr="007D4101">
                    <w:rPr>
                      <w:rFonts w:ascii="Arial" w:hAnsi="Arial"/>
                      <w:i/>
                      <w:iCs/>
                      <w:sz w:val="22"/>
                      <w:szCs w:val="22"/>
                    </w:rPr>
                    <w:t>-Thermus</w:t>
                  </w:r>
                  <w:r w:rsidRPr="007D4101">
                    <w:rPr>
                      <w:rFonts w:ascii="Arial" w:hAnsi="Arial"/>
                      <w:sz w:val="22"/>
                      <w:szCs w:val="22"/>
                    </w:rPr>
                    <w:t xml:space="preserve">, and </w:t>
                  </w:r>
                  <w:r w:rsidRPr="007D4101">
                    <w:rPr>
                      <w:rFonts w:ascii="Arial" w:hAnsi="Arial"/>
                      <w:i/>
                      <w:iCs/>
                      <w:sz w:val="22"/>
                      <w:szCs w:val="22"/>
                    </w:rPr>
                    <w:t>Firmicutes</w:t>
                  </w:r>
                  <w:r w:rsidRPr="007D4101">
                    <w:rPr>
                      <w:rFonts w:ascii="Arial" w:hAnsi="Arial"/>
                      <w:sz w:val="22"/>
                      <w:szCs w:val="22"/>
                    </w:rPr>
                    <w:t>, composed almost exclusively of monoderm or “simple diderm” bacteria lacking LPS.</w:t>
                  </w:r>
                </w:p>
                <w:p w14:paraId="54674E38" w14:textId="77777777" w:rsidR="000C0E8A" w:rsidRPr="007D4101" w:rsidRDefault="000C0E8A">
                  <w:pPr>
                    <w:jc w:val="both"/>
                    <w:rPr>
                      <w:rFonts w:ascii="Arial" w:hAnsi="Arial" w:cs="Arial"/>
                      <w:color w:val="000000"/>
                      <w:sz w:val="22"/>
                      <w:szCs w:val="22"/>
                    </w:rPr>
                  </w:pPr>
                </w:p>
                <w:p w14:paraId="1A308E1E" w14:textId="77777777" w:rsidR="000C0E8A" w:rsidRPr="007D4101" w:rsidRDefault="009216D0">
                  <w:pPr>
                    <w:jc w:val="both"/>
                    <w:rPr>
                      <w:sz w:val="22"/>
                      <w:szCs w:val="22"/>
                    </w:rPr>
                  </w:pPr>
                  <w:r w:rsidRPr="007D4101">
                    <w:rPr>
                      <w:rFonts w:ascii="Arial" w:hAnsi="Arial" w:cs="Arial"/>
                      <w:color w:val="000000"/>
                      <w:sz w:val="22"/>
                      <w:szCs w:val="22"/>
                    </w:rPr>
                    <w:t xml:space="preserve">While gene-content networks are useful for exploration of genome diversity within the </w:t>
                  </w:r>
                  <w:proofErr w:type="spellStart"/>
                  <w:r w:rsidRPr="007D4101">
                    <w:rPr>
                      <w:rFonts w:ascii="Arial" w:hAnsi="Arial" w:cs="Arial"/>
                      <w:i/>
                      <w:iCs/>
                      <w:color w:val="000000"/>
                      <w:sz w:val="22"/>
                      <w:szCs w:val="22"/>
                    </w:rPr>
                    <w:t>Tubulavirales</w:t>
                  </w:r>
                  <w:proofErr w:type="spellEnd"/>
                  <w:r w:rsidRPr="007D4101">
                    <w:rPr>
                      <w:rFonts w:ascii="Arial" w:hAnsi="Arial" w:cs="Arial"/>
                      <w:color w:val="000000"/>
                      <w:sz w:val="22"/>
                      <w:szCs w:val="22"/>
                    </w:rPr>
                    <w:t xml:space="preserve"> order, they are challenging to use directly for classification of a newly sequenced genome. Instead, we propose using a comparison to a curated set of reference genomes, composed of isolates and high-quality prophages (available at https://genome.jgi.doe.gov/portal/Inovirus/; Roux et al., 2019). If a new genome encodes 2 predicted proteins with significant similarity (</w:t>
                  </w:r>
                  <w:proofErr w:type="spellStart"/>
                  <w:r w:rsidRPr="007D4101">
                    <w:rPr>
                      <w:rFonts w:ascii="Arial" w:hAnsi="Arial" w:cs="Arial"/>
                      <w:color w:val="000000"/>
                      <w:sz w:val="22"/>
                      <w:szCs w:val="22"/>
                    </w:rPr>
                    <w:t>blastp</w:t>
                  </w:r>
                  <w:proofErr w:type="spellEnd"/>
                  <w:r w:rsidRPr="007D4101">
                    <w:rPr>
                      <w:rFonts w:ascii="Arial" w:hAnsi="Arial" w:cs="Arial"/>
                      <w:color w:val="000000"/>
                      <w:sz w:val="22"/>
                      <w:szCs w:val="22"/>
                    </w:rPr>
                    <w:t xml:space="preserve">, E value &lt; 0.001) to 2 distinct proteins of the same reference genome, it would be classified within the same family as this reference. We verified that, based on the current set of isolates and after removing hits to the same species, this approach would be entirely consistent with the gene-content network displayed in Fig. 1. We also provide a companion </w:t>
                  </w:r>
                  <w:proofErr w:type="gramStart"/>
                  <w:r w:rsidRPr="007D4101">
                    <w:rPr>
                      <w:rFonts w:ascii="Arial" w:hAnsi="Arial" w:cs="Arial"/>
                      <w:color w:val="000000"/>
                      <w:sz w:val="22"/>
                      <w:szCs w:val="22"/>
                    </w:rPr>
                    <w:t>tool  that</w:t>
                  </w:r>
                  <w:proofErr w:type="gramEnd"/>
                  <w:r w:rsidRPr="007D4101">
                    <w:rPr>
                      <w:rFonts w:ascii="Arial" w:hAnsi="Arial" w:cs="Arial"/>
                      <w:color w:val="000000"/>
                      <w:sz w:val="22"/>
                      <w:szCs w:val="22"/>
                    </w:rPr>
                    <w:t xml:space="preserve"> performs a gene prediction, comparison to references, and automatic affiliation of a new </w:t>
                  </w:r>
                  <w:proofErr w:type="spellStart"/>
                  <w:r w:rsidRPr="007D4101">
                    <w:rPr>
                      <w:rFonts w:ascii="Arial" w:hAnsi="Arial" w:cs="Arial"/>
                      <w:color w:val="000000"/>
                      <w:sz w:val="22"/>
                      <w:szCs w:val="22"/>
                    </w:rPr>
                    <w:t>inovirus</w:t>
                  </w:r>
                  <w:proofErr w:type="spellEnd"/>
                  <w:r w:rsidRPr="007D4101">
                    <w:rPr>
                      <w:rFonts w:ascii="Arial" w:hAnsi="Arial" w:cs="Arial"/>
                      <w:color w:val="000000"/>
                      <w:sz w:val="22"/>
                      <w:szCs w:val="22"/>
                    </w:rPr>
                    <w:t xml:space="preserve"> sequence (available at https://github.com/simroux/Inovirus/tree/master/Inovirus_classifier).</w:t>
                  </w:r>
                </w:p>
                <w:p w14:paraId="53C8CB38" w14:textId="77777777" w:rsidR="000C0E8A" w:rsidRPr="007D4101" w:rsidRDefault="000C0E8A">
                  <w:pPr>
                    <w:jc w:val="both"/>
                    <w:rPr>
                      <w:rFonts w:ascii="Arial" w:hAnsi="Arial" w:cs="Arial"/>
                      <w:color w:val="000000"/>
                      <w:sz w:val="22"/>
                      <w:szCs w:val="22"/>
                    </w:rPr>
                  </w:pPr>
                </w:p>
                <w:p w14:paraId="592917A2" w14:textId="77777777" w:rsidR="000C0E8A" w:rsidRPr="007D4101" w:rsidRDefault="009216D0">
                  <w:pPr>
                    <w:jc w:val="both"/>
                    <w:rPr>
                      <w:rFonts w:ascii="Arial" w:hAnsi="Arial" w:cs="Arial"/>
                      <w:color w:val="000000"/>
                      <w:sz w:val="22"/>
                      <w:szCs w:val="22"/>
                    </w:rPr>
                  </w:pPr>
                  <w:r w:rsidRPr="007D4101">
                    <w:rPr>
                      <w:rFonts w:ascii="Arial" w:hAnsi="Arial" w:cs="Arial"/>
                      <w:color w:val="000000"/>
                      <w:sz w:val="22"/>
                      <w:szCs w:val="22"/>
                    </w:rPr>
                    <w:t>Finally, we propose to name the new family as “</w:t>
                  </w:r>
                  <w:proofErr w:type="spellStart"/>
                  <w:r w:rsidRPr="007D4101">
                    <w:rPr>
                      <w:rFonts w:ascii="Arial" w:hAnsi="Arial" w:cs="Arial"/>
                      <w:i/>
                      <w:iCs/>
                      <w:color w:val="000000"/>
                      <w:sz w:val="22"/>
                      <w:szCs w:val="22"/>
                    </w:rPr>
                    <w:t>Paulinoviridae</w:t>
                  </w:r>
                  <w:proofErr w:type="spellEnd"/>
                  <w:r w:rsidRPr="007D4101">
                    <w:rPr>
                      <w:rFonts w:ascii="Arial" w:hAnsi="Arial" w:cs="Arial"/>
                      <w:color w:val="000000"/>
                      <w:sz w:val="22"/>
                      <w:szCs w:val="22"/>
                    </w:rPr>
                    <w:t xml:space="preserve">” from the </w:t>
                  </w:r>
                  <w:proofErr w:type="spellStart"/>
                  <w:r w:rsidRPr="007D4101">
                    <w:rPr>
                      <w:rFonts w:ascii="Arial" w:hAnsi="Arial" w:cs="Arial"/>
                      <w:color w:val="000000"/>
                      <w:sz w:val="22"/>
                      <w:szCs w:val="22"/>
                    </w:rPr>
                    <w:t>latin</w:t>
                  </w:r>
                  <w:proofErr w:type="spellEnd"/>
                  <w:r w:rsidRPr="007D4101">
                    <w:rPr>
                      <w:rFonts w:ascii="Arial" w:hAnsi="Arial" w:cs="Arial"/>
                      <w:color w:val="000000"/>
                      <w:sz w:val="22"/>
                      <w:szCs w:val="22"/>
                    </w:rPr>
                    <w:t xml:space="preserve"> “</w:t>
                  </w:r>
                  <w:proofErr w:type="spellStart"/>
                  <w:r w:rsidRPr="007D4101">
                    <w:rPr>
                      <w:rFonts w:ascii="Arial" w:hAnsi="Arial" w:cs="Arial"/>
                      <w:color w:val="000000"/>
                      <w:sz w:val="22"/>
                      <w:szCs w:val="22"/>
                    </w:rPr>
                    <w:t>paulus</w:t>
                  </w:r>
                  <w:proofErr w:type="spellEnd"/>
                  <w:r w:rsidRPr="007D4101">
                    <w:rPr>
                      <w:rFonts w:ascii="Arial" w:hAnsi="Arial" w:cs="Arial"/>
                      <w:color w:val="000000"/>
                      <w:sz w:val="22"/>
                      <w:szCs w:val="22"/>
                    </w:rPr>
                    <w:t xml:space="preserve">, </w:t>
                  </w:r>
                  <w:proofErr w:type="spellStart"/>
                  <w:r w:rsidRPr="007D4101">
                    <w:rPr>
                      <w:rFonts w:ascii="Arial" w:hAnsi="Arial" w:cs="Arial"/>
                      <w:color w:val="000000"/>
                      <w:sz w:val="22"/>
                      <w:szCs w:val="22"/>
                    </w:rPr>
                    <w:t>pauli</w:t>
                  </w:r>
                  <w:proofErr w:type="spellEnd"/>
                  <w:r w:rsidRPr="007D4101">
                    <w:rPr>
                      <w:rFonts w:ascii="Arial" w:hAnsi="Arial" w:cs="Arial"/>
                      <w:color w:val="000000"/>
                      <w:sz w:val="22"/>
                      <w:szCs w:val="22"/>
                    </w:rPr>
                    <w:t xml:space="preserve">”, meaning “small”, as we noted that members of this new family tend to have shorter genomes and encode less predicted proteins than members of the two other families within the </w:t>
                  </w:r>
                  <w:proofErr w:type="spellStart"/>
                  <w:r w:rsidRPr="007D4101">
                    <w:rPr>
                      <w:rFonts w:ascii="Arial" w:hAnsi="Arial" w:cs="Arial"/>
                      <w:i/>
                      <w:iCs/>
                      <w:color w:val="000000"/>
                      <w:sz w:val="22"/>
                      <w:szCs w:val="22"/>
                    </w:rPr>
                    <w:t>Tubulavirales</w:t>
                  </w:r>
                  <w:proofErr w:type="spellEnd"/>
                  <w:r w:rsidRPr="007D4101">
                    <w:rPr>
                      <w:rFonts w:ascii="Arial" w:hAnsi="Arial" w:cs="Arial"/>
                      <w:color w:val="000000"/>
                      <w:sz w:val="22"/>
                      <w:szCs w:val="22"/>
                    </w:rPr>
                    <w:t xml:space="preserve"> (Fig. 2). This pattern was also observed on the larger </w:t>
                  </w:r>
                  <w:proofErr w:type="gramStart"/>
                  <w:r w:rsidRPr="007D4101">
                    <w:rPr>
                      <w:rFonts w:ascii="Arial" w:hAnsi="Arial" w:cs="Arial"/>
                      <w:color w:val="000000"/>
                      <w:sz w:val="22"/>
                      <w:szCs w:val="22"/>
                    </w:rPr>
                    <w:t>dataset, and</w:t>
                  </w:r>
                  <w:proofErr w:type="gramEnd"/>
                  <w:r w:rsidRPr="007D4101">
                    <w:rPr>
                      <w:rFonts w:ascii="Arial" w:hAnsi="Arial" w:cs="Arial"/>
                      <w:color w:val="000000"/>
                      <w:sz w:val="22"/>
                      <w:szCs w:val="22"/>
                    </w:rPr>
                    <w:t xml:space="preserve"> seems to be a consistent feature of the </w:t>
                  </w:r>
                  <w:proofErr w:type="spellStart"/>
                  <w:r w:rsidRPr="007D4101">
                    <w:rPr>
                      <w:rFonts w:ascii="Arial" w:hAnsi="Arial" w:cs="Arial"/>
                      <w:i/>
                      <w:iCs/>
                      <w:color w:val="000000"/>
                      <w:sz w:val="22"/>
                      <w:szCs w:val="22"/>
                    </w:rPr>
                    <w:t>Paulinoviridae</w:t>
                  </w:r>
                  <w:proofErr w:type="spellEnd"/>
                  <w:r w:rsidRPr="007D4101">
                    <w:rPr>
                      <w:rFonts w:ascii="Arial" w:hAnsi="Arial" w:cs="Arial"/>
                      <w:color w:val="000000"/>
                      <w:sz w:val="22"/>
                      <w:szCs w:val="22"/>
                    </w:rPr>
                    <w:t xml:space="preserve"> (Roux et al., 2019).</w:t>
                  </w:r>
                </w:p>
                <w:p w14:paraId="187C7819" w14:textId="77777777" w:rsidR="000C0E8A" w:rsidRPr="007D4101" w:rsidRDefault="000C0E8A">
                  <w:pPr>
                    <w:jc w:val="both"/>
                    <w:rPr>
                      <w:rFonts w:ascii="Arial" w:hAnsi="Arial" w:cs="Arial"/>
                      <w:color w:val="0000FF"/>
                      <w:sz w:val="22"/>
                      <w:szCs w:val="22"/>
                    </w:rPr>
                  </w:pPr>
                </w:p>
                <w:p w14:paraId="7A180D2D" w14:textId="77777777" w:rsidR="000C0E8A" w:rsidRPr="007D4101" w:rsidRDefault="000C0E8A">
                  <w:pPr>
                    <w:rPr>
                      <w:rFonts w:ascii="Arial" w:hAnsi="Arial" w:cs="Arial"/>
                      <w:color w:val="0000FF"/>
                      <w:sz w:val="22"/>
                      <w:szCs w:val="22"/>
                    </w:rPr>
                  </w:pPr>
                </w:p>
                <w:p w14:paraId="07BE7D19" w14:textId="77777777" w:rsidR="000C0E8A" w:rsidRPr="007D4101" w:rsidRDefault="000C0E8A">
                  <w:pPr>
                    <w:rPr>
                      <w:rFonts w:ascii="Arial" w:hAnsi="Arial" w:cs="Arial"/>
                      <w:color w:val="0000FF"/>
                      <w:sz w:val="22"/>
                      <w:szCs w:val="22"/>
                    </w:rPr>
                  </w:pPr>
                </w:p>
                <w:p w14:paraId="31D1E467" w14:textId="77777777" w:rsidR="000C0E8A" w:rsidRPr="007D4101" w:rsidRDefault="000C0E8A">
                  <w:pPr>
                    <w:rPr>
                      <w:rFonts w:ascii="Arial" w:hAnsi="Arial" w:cs="Arial"/>
                      <w:color w:val="0000FF"/>
                      <w:sz w:val="22"/>
                      <w:szCs w:val="22"/>
                    </w:rPr>
                  </w:pPr>
                </w:p>
                <w:p w14:paraId="5C33FF5C" w14:textId="77777777" w:rsidR="000C0E8A" w:rsidRPr="007D4101" w:rsidRDefault="000C0E8A">
                  <w:pPr>
                    <w:rPr>
                      <w:rFonts w:ascii="Arial" w:hAnsi="Arial" w:cs="Arial"/>
                      <w:color w:val="0000FF"/>
                      <w:sz w:val="22"/>
                      <w:szCs w:val="22"/>
                    </w:rPr>
                  </w:pPr>
                </w:p>
                <w:p w14:paraId="51D85240" w14:textId="77777777" w:rsidR="000C0E8A" w:rsidRPr="007D4101" w:rsidRDefault="000C0E8A">
                  <w:pPr>
                    <w:rPr>
                      <w:rFonts w:ascii="Arial" w:hAnsi="Arial" w:cs="Arial"/>
                      <w:color w:val="0000FF"/>
                      <w:sz w:val="22"/>
                      <w:szCs w:val="22"/>
                    </w:rPr>
                  </w:pPr>
                </w:p>
                <w:p w14:paraId="72D83551" w14:textId="77777777" w:rsidR="000C0E8A" w:rsidRPr="007D4101" w:rsidRDefault="000C0E8A">
                  <w:pPr>
                    <w:rPr>
                      <w:rFonts w:ascii="Arial" w:hAnsi="Arial" w:cs="Arial"/>
                      <w:color w:val="0000FF"/>
                      <w:sz w:val="22"/>
                      <w:szCs w:val="22"/>
                    </w:rPr>
                  </w:pPr>
                </w:p>
                <w:p w14:paraId="6B825CFC" w14:textId="77777777" w:rsidR="000C0E8A" w:rsidRPr="007D4101" w:rsidRDefault="000C0E8A">
                  <w:pPr>
                    <w:rPr>
                      <w:rFonts w:ascii="Arial" w:hAnsi="Arial" w:cs="Arial"/>
                      <w:color w:val="0000FF"/>
                      <w:sz w:val="22"/>
                      <w:szCs w:val="22"/>
                    </w:rPr>
                  </w:pPr>
                </w:p>
                <w:p w14:paraId="0336136E" w14:textId="77777777" w:rsidR="000C0E8A" w:rsidRPr="007D4101" w:rsidRDefault="000C0E8A">
                  <w:pPr>
                    <w:rPr>
                      <w:rFonts w:ascii="Arial" w:hAnsi="Arial" w:cs="Arial"/>
                      <w:color w:val="0000FF"/>
                      <w:sz w:val="22"/>
                      <w:szCs w:val="22"/>
                    </w:rPr>
                  </w:pPr>
                </w:p>
                <w:p w14:paraId="4C941B62" w14:textId="77777777" w:rsidR="000C0E8A" w:rsidRPr="007D4101" w:rsidRDefault="000C0E8A">
                  <w:pPr>
                    <w:rPr>
                      <w:rFonts w:ascii="Arial" w:hAnsi="Arial" w:cs="Arial"/>
                      <w:color w:val="0000FF"/>
                      <w:sz w:val="22"/>
                      <w:szCs w:val="22"/>
                    </w:rPr>
                  </w:pPr>
                </w:p>
                <w:p w14:paraId="68EB4FD3" w14:textId="77777777" w:rsidR="000C0E8A" w:rsidRPr="007D4101" w:rsidRDefault="000C0E8A">
                  <w:pPr>
                    <w:rPr>
                      <w:rFonts w:ascii="Arial" w:hAnsi="Arial" w:cs="Arial"/>
                      <w:color w:val="0000FF"/>
                      <w:sz w:val="22"/>
                      <w:szCs w:val="22"/>
                    </w:rPr>
                  </w:pPr>
                </w:p>
              </w:tc>
            </w:tr>
          </w:tbl>
          <w:p w14:paraId="22085178" w14:textId="77777777" w:rsidR="000C0E8A" w:rsidRDefault="000C0E8A">
            <w:pPr>
              <w:rPr>
                <w:rFonts w:ascii="Arial" w:hAnsi="Arial" w:cs="Arial"/>
                <w:color w:val="0000FF"/>
                <w:sz w:val="20"/>
              </w:rPr>
            </w:pPr>
          </w:p>
        </w:tc>
      </w:tr>
    </w:tbl>
    <w:p w14:paraId="45916602" w14:textId="77777777" w:rsidR="007D4101" w:rsidRDefault="007D4101">
      <w:pPr>
        <w:pStyle w:val="BodyTextIndent"/>
        <w:spacing w:before="120" w:after="120"/>
        <w:ind w:left="0" w:firstLine="0"/>
        <w:rPr>
          <w:rFonts w:ascii="Arial" w:hAnsi="Arial" w:cs="Arial"/>
          <w:b/>
          <w:color w:val="000000"/>
          <w:szCs w:val="24"/>
        </w:rPr>
      </w:pPr>
    </w:p>
    <w:p w14:paraId="73917585" w14:textId="77777777" w:rsidR="007D4101" w:rsidRDefault="007D4101">
      <w:pPr>
        <w:pStyle w:val="BodyTextIndent"/>
        <w:spacing w:before="120" w:after="120"/>
        <w:ind w:left="0" w:firstLine="0"/>
        <w:rPr>
          <w:rFonts w:ascii="Arial" w:hAnsi="Arial" w:cs="Arial"/>
          <w:b/>
          <w:color w:val="000000"/>
          <w:szCs w:val="24"/>
        </w:rPr>
      </w:pPr>
    </w:p>
    <w:p w14:paraId="40EAC223" w14:textId="77777777" w:rsidR="007D4101" w:rsidRDefault="007D4101">
      <w:pPr>
        <w:pStyle w:val="BodyTextIndent"/>
        <w:spacing w:before="120" w:after="120"/>
        <w:ind w:left="0" w:firstLine="0"/>
        <w:rPr>
          <w:rFonts w:ascii="Arial" w:hAnsi="Arial" w:cs="Arial"/>
          <w:b/>
          <w:color w:val="000000"/>
          <w:szCs w:val="24"/>
        </w:rPr>
      </w:pPr>
    </w:p>
    <w:p w14:paraId="2960B148" w14:textId="77777777" w:rsidR="007D4101" w:rsidRDefault="007D4101">
      <w:pPr>
        <w:pStyle w:val="BodyTextIndent"/>
        <w:spacing w:before="120" w:after="120"/>
        <w:ind w:left="0" w:firstLine="0"/>
        <w:rPr>
          <w:rFonts w:ascii="Arial" w:hAnsi="Arial" w:cs="Arial"/>
          <w:b/>
          <w:color w:val="000000"/>
          <w:szCs w:val="24"/>
        </w:rPr>
      </w:pPr>
    </w:p>
    <w:p w14:paraId="63E6948E" w14:textId="77777777" w:rsidR="007D4101" w:rsidRDefault="007D4101">
      <w:pPr>
        <w:pStyle w:val="BodyTextIndent"/>
        <w:spacing w:before="120" w:after="120"/>
        <w:ind w:left="0" w:firstLine="0"/>
        <w:rPr>
          <w:rFonts w:ascii="Arial" w:hAnsi="Arial" w:cs="Arial"/>
          <w:b/>
          <w:color w:val="000000"/>
          <w:szCs w:val="24"/>
        </w:rPr>
      </w:pPr>
    </w:p>
    <w:p w14:paraId="23BF1E55" w14:textId="77777777" w:rsidR="007D4101" w:rsidRDefault="007D4101">
      <w:pPr>
        <w:pStyle w:val="BodyTextIndent"/>
        <w:spacing w:before="120" w:after="120"/>
        <w:ind w:left="0" w:firstLine="0"/>
        <w:rPr>
          <w:rFonts w:ascii="Arial" w:hAnsi="Arial" w:cs="Arial"/>
          <w:b/>
          <w:color w:val="000000"/>
          <w:szCs w:val="24"/>
        </w:rPr>
      </w:pPr>
    </w:p>
    <w:p w14:paraId="4B233991" w14:textId="77777777" w:rsidR="007D4101" w:rsidRDefault="007D4101">
      <w:pPr>
        <w:pStyle w:val="BodyTextIndent"/>
        <w:spacing w:before="120" w:after="120"/>
        <w:ind w:left="0" w:firstLine="0"/>
        <w:rPr>
          <w:rFonts w:ascii="Arial" w:hAnsi="Arial" w:cs="Arial"/>
          <w:b/>
          <w:color w:val="000000"/>
          <w:szCs w:val="24"/>
        </w:rPr>
      </w:pPr>
    </w:p>
    <w:p w14:paraId="22507D01" w14:textId="77777777" w:rsidR="007D4101" w:rsidRDefault="007D4101">
      <w:pPr>
        <w:pStyle w:val="BodyTextIndent"/>
        <w:spacing w:before="120" w:after="120"/>
        <w:ind w:left="0" w:firstLine="0"/>
        <w:rPr>
          <w:rFonts w:ascii="Arial" w:hAnsi="Arial" w:cs="Arial"/>
          <w:b/>
          <w:color w:val="000000"/>
          <w:szCs w:val="24"/>
        </w:rPr>
      </w:pPr>
    </w:p>
    <w:p w14:paraId="77DF3FE5" w14:textId="77777777" w:rsidR="007D4101" w:rsidRDefault="007D4101">
      <w:pPr>
        <w:pStyle w:val="BodyTextIndent"/>
        <w:spacing w:before="120" w:after="120"/>
        <w:ind w:left="0" w:firstLine="0"/>
        <w:rPr>
          <w:rFonts w:ascii="Arial" w:hAnsi="Arial" w:cs="Arial"/>
          <w:b/>
          <w:color w:val="000000"/>
          <w:szCs w:val="24"/>
        </w:rPr>
      </w:pPr>
    </w:p>
    <w:p w14:paraId="05D1F0E4" w14:textId="77777777" w:rsidR="007D4101" w:rsidRDefault="007D4101">
      <w:pPr>
        <w:pStyle w:val="BodyTextIndent"/>
        <w:spacing w:before="120" w:after="120"/>
        <w:ind w:left="0" w:firstLine="0"/>
        <w:rPr>
          <w:rFonts w:ascii="Arial" w:hAnsi="Arial" w:cs="Arial"/>
          <w:b/>
          <w:color w:val="000000"/>
          <w:szCs w:val="24"/>
        </w:rPr>
      </w:pPr>
    </w:p>
    <w:p w14:paraId="51F068C4" w14:textId="58B3D3D1" w:rsidR="000C0E8A" w:rsidRDefault="009216D0">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29AF65CC" w14:textId="77777777" w:rsidR="000C0E8A" w:rsidRDefault="009216D0">
      <w:pPr>
        <w:rPr>
          <w:rFonts w:ascii="Arial" w:hAnsi="Arial" w:cs="Arial"/>
          <w:b/>
          <w:sz w:val="22"/>
          <w:szCs w:val="22"/>
        </w:rPr>
      </w:pPr>
      <w:r>
        <w:rPr>
          <w:rFonts w:ascii="Arial" w:hAnsi="Arial" w:cs="Arial"/>
          <w:b/>
          <w:noProof/>
          <w:sz w:val="22"/>
          <w:szCs w:val="22"/>
        </w:rPr>
        <w:drawing>
          <wp:anchor distT="0" distB="0" distL="0" distR="0" simplePos="0" relativeHeight="3" behindDoc="0" locked="0" layoutInCell="1" allowOverlap="1" wp14:anchorId="2DC59A2B" wp14:editId="10B81EBE">
            <wp:simplePos x="0" y="0"/>
            <wp:positionH relativeFrom="column">
              <wp:align>center</wp:align>
            </wp:positionH>
            <wp:positionV relativeFrom="paragraph">
              <wp:posOffset>635</wp:posOffset>
            </wp:positionV>
            <wp:extent cx="5731510" cy="2385695"/>
            <wp:effectExtent l="0" t="0" r="0" b="0"/>
            <wp:wrapSquare wrapText="largest"/>
            <wp:docPr id="2"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pic:cNvPicPr>
                      <a:picLocks noChangeAspect="1" noChangeArrowheads="1"/>
                    </pic:cNvPicPr>
                  </pic:nvPicPr>
                  <pic:blipFill>
                    <a:blip r:embed="rId8"/>
                    <a:stretch>
                      <a:fillRect/>
                    </a:stretch>
                  </pic:blipFill>
                  <pic:spPr bwMode="auto">
                    <a:xfrm>
                      <a:off x="0" y="0"/>
                      <a:ext cx="5731510" cy="2385695"/>
                    </a:xfrm>
                    <a:prstGeom prst="rect">
                      <a:avLst/>
                    </a:prstGeom>
                  </pic:spPr>
                </pic:pic>
              </a:graphicData>
            </a:graphic>
          </wp:anchor>
        </w:drawing>
      </w:r>
    </w:p>
    <w:p w14:paraId="48E10EF0" w14:textId="77777777" w:rsidR="000C0E8A" w:rsidRDefault="000C0E8A">
      <w:pPr>
        <w:rPr>
          <w:rFonts w:ascii="Arial" w:hAnsi="Arial" w:cs="Arial"/>
          <w:b/>
          <w:sz w:val="22"/>
          <w:szCs w:val="22"/>
        </w:rPr>
      </w:pPr>
    </w:p>
    <w:p w14:paraId="7D06E021" w14:textId="77777777" w:rsidR="000C0E8A" w:rsidRPr="007D4101" w:rsidRDefault="009216D0">
      <w:pPr>
        <w:rPr>
          <w:rFonts w:ascii="Arial" w:hAnsi="Arial" w:cs="Arial"/>
          <w:b/>
          <w:sz w:val="22"/>
          <w:szCs w:val="22"/>
        </w:rPr>
      </w:pPr>
      <w:r w:rsidRPr="007D4101">
        <w:rPr>
          <w:rFonts w:ascii="Arial" w:hAnsi="Arial" w:cs="Arial"/>
          <w:b/>
          <w:sz w:val="22"/>
          <w:szCs w:val="22"/>
        </w:rPr>
        <w:t xml:space="preserve">Figure 1: Gene content network of </w:t>
      </w:r>
      <w:proofErr w:type="spellStart"/>
      <w:r w:rsidRPr="007D4101">
        <w:rPr>
          <w:rFonts w:ascii="Arial" w:hAnsi="Arial" w:cs="Arial"/>
          <w:b/>
          <w:i/>
          <w:iCs/>
          <w:sz w:val="22"/>
          <w:szCs w:val="22"/>
        </w:rPr>
        <w:t>Tubulavirales</w:t>
      </w:r>
      <w:proofErr w:type="spellEnd"/>
      <w:r w:rsidRPr="007D4101">
        <w:rPr>
          <w:rFonts w:ascii="Arial" w:hAnsi="Arial" w:cs="Arial"/>
          <w:b/>
          <w:sz w:val="22"/>
          <w:szCs w:val="22"/>
        </w:rPr>
        <w:t xml:space="preserve"> isolates and high-quality prophages. </w:t>
      </w:r>
      <w:r w:rsidRPr="007D4101">
        <w:rPr>
          <w:rFonts w:ascii="Arial" w:hAnsi="Arial" w:cs="Arial"/>
          <w:sz w:val="22"/>
          <w:szCs w:val="22"/>
        </w:rPr>
        <w:t xml:space="preserve">Protein sequences from all </w:t>
      </w:r>
      <w:proofErr w:type="spellStart"/>
      <w:r w:rsidRPr="007D4101">
        <w:rPr>
          <w:rFonts w:ascii="Arial" w:hAnsi="Arial" w:cs="Arial"/>
          <w:sz w:val="22"/>
          <w:szCs w:val="22"/>
        </w:rPr>
        <w:t>inoviruses</w:t>
      </w:r>
      <w:proofErr w:type="spellEnd"/>
      <w:r w:rsidRPr="007D4101">
        <w:rPr>
          <w:rFonts w:ascii="Arial" w:hAnsi="Arial" w:cs="Arial"/>
          <w:sz w:val="22"/>
          <w:szCs w:val="22"/>
        </w:rPr>
        <w:t xml:space="preserve"> were compared with an all-vs-all </w:t>
      </w:r>
      <w:proofErr w:type="spellStart"/>
      <w:r w:rsidRPr="007D4101">
        <w:rPr>
          <w:rFonts w:ascii="Arial" w:hAnsi="Arial" w:cs="Arial"/>
          <w:sz w:val="22"/>
          <w:szCs w:val="22"/>
        </w:rPr>
        <w:t>blastp</w:t>
      </w:r>
      <w:proofErr w:type="spellEnd"/>
      <w:r w:rsidRPr="007D4101">
        <w:rPr>
          <w:rFonts w:ascii="Arial" w:hAnsi="Arial" w:cs="Arial"/>
          <w:sz w:val="22"/>
          <w:szCs w:val="22"/>
        </w:rPr>
        <w:t xml:space="preserve"> (v2.9.0, E value cutoff of 0.001). Genomes are represented as nodes, colored according to currently defined genera with &gt; 2 genomes, and connected by edges if significant hits were observed on ≥ 2 genes for each genome. </w:t>
      </w:r>
      <w:r w:rsidRPr="007D4101">
        <w:rPr>
          <w:rFonts w:ascii="Arial" w:hAnsi="Arial" w:cs="Lohit Devanagari"/>
          <w:sz w:val="22"/>
          <w:szCs w:val="22"/>
        </w:rPr>
        <w:t xml:space="preserve">The network was displayed in </w:t>
      </w:r>
      <w:proofErr w:type="spellStart"/>
      <w:r w:rsidRPr="007D4101">
        <w:rPr>
          <w:rFonts w:ascii="Arial" w:hAnsi="Arial" w:cs="Lohit Devanagari"/>
          <w:sz w:val="22"/>
          <w:szCs w:val="22"/>
        </w:rPr>
        <w:t>Cytoscape</w:t>
      </w:r>
      <w:proofErr w:type="spellEnd"/>
      <w:r w:rsidRPr="007D4101">
        <w:rPr>
          <w:rFonts w:ascii="Arial" w:hAnsi="Arial" w:cs="Lohit Devanagari"/>
          <w:sz w:val="22"/>
          <w:szCs w:val="22"/>
        </w:rPr>
        <w:t xml:space="preserve"> v3.5.0 using an</w:t>
      </w:r>
      <w:r w:rsidRPr="007D4101">
        <w:rPr>
          <w:rFonts w:ascii="Arial" w:hAnsi="Arial" w:cs="Arial"/>
          <w:sz w:val="22"/>
          <w:szCs w:val="22"/>
        </w:rPr>
        <w:t xml:space="preserve"> edge-weighted Embedded Layout, with edge weight defined as the cumulative AAI across all </w:t>
      </w:r>
      <w:r w:rsidRPr="007D4101">
        <w:rPr>
          <w:rFonts w:ascii="Arial" w:hAnsi="Arial" w:cs="Lohit Devanagari"/>
          <w:sz w:val="22"/>
          <w:szCs w:val="22"/>
        </w:rPr>
        <w:t>reciprocal best hits</w:t>
      </w:r>
      <w:r w:rsidRPr="007D4101">
        <w:rPr>
          <w:rFonts w:ascii="Arial" w:hAnsi="Arial" w:cs="Arial"/>
          <w:sz w:val="22"/>
          <w:szCs w:val="22"/>
        </w:rPr>
        <w:t xml:space="preserve"> for each genome pair.</w:t>
      </w:r>
    </w:p>
    <w:p w14:paraId="0BD1551E" w14:textId="77777777" w:rsidR="000C0E8A" w:rsidRPr="007D4101" w:rsidRDefault="009216D0">
      <w:pPr>
        <w:rPr>
          <w:rFonts w:ascii="Arial" w:hAnsi="Arial" w:cs="Arial"/>
          <w:b/>
          <w:sz w:val="22"/>
          <w:szCs w:val="22"/>
        </w:rPr>
      </w:pPr>
      <w:r>
        <w:rPr>
          <w:rFonts w:ascii="Arial" w:hAnsi="Arial" w:cs="Arial"/>
          <w:b/>
          <w:noProof/>
          <w:sz w:val="22"/>
          <w:szCs w:val="22"/>
        </w:rPr>
        <w:drawing>
          <wp:anchor distT="0" distB="0" distL="0" distR="0" simplePos="0" relativeHeight="4" behindDoc="0" locked="0" layoutInCell="1" allowOverlap="1" wp14:anchorId="02801E91" wp14:editId="0821555B">
            <wp:simplePos x="0" y="0"/>
            <wp:positionH relativeFrom="column">
              <wp:posOffset>856615</wp:posOffset>
            </wp:positionH>
            <wp:positionV relativeFrom="paragraph">
              <wp:posOffset>93980</wp:posOffset>
            </wp:positionV>
            <wp:extent cx="4156075" cy="2665730"/>
            <wp:effectExtent l="0" t="0" r="0" b="0"/>
            <wp:wrapTopAndBottom/>
            <wp:docPr id="3"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
                    <pic:cNvPicPr>
                      <a:picLocks noChangeAspect="1" noChangeArrowheads="1"/>
                    </pic:cNvPicPr>
                  </pic:nvPicPr>
                  <pic:blipFill>
                    <a:blip r:embed="rId9"/>
                    <a:stretch>
                      <a:fillRect/>
                    </a:stretch>
                  </pic:blipFill>
                  <pic:spPr bwMode="auto">
                    <a:xfrm>
                      <a:off x="0" y="0"/>
                      <a:ext cx="4156075" cy="2665730"/>
                    </a:xfrm>
                    <a:prstGeom prst="rect">
                      <a:avLst/>
                    </a:prstGeom>
                  </pic:spPr>
                </pic:pic>
              </a:graphicData>
            </a:graphic>
          </wp:anchor>
        </w:drawing>
      </w:r>
    </w:p>
    <w:p w14:paraId="78BB0E93" w14:textId="77777777" w:rsidR="000C0E8A" w:rsidRPr="007D4101" w:rsidRDefault="009216D0">
      <w:pPr>
        <w:rPr>
          <w:sz w:val="22"/>
          <w:szCs w:val="22"/>
        </w:rPr>
      </w:pPr>
      <w:r w:rsidRPr="007D4101">
        <w:rPr>
          <w:rFonts w:ascii="Arial" w:hAnsi="Arial" w:cs="Arial"/>
          <w:b/>
          <w:sz w:val="22"/>
          <w:szCs w:val="22"/>
        </w:rPr>
        <w:t xml:space="preserve">Figure 2: </w:t>
      </w:r>
      <w:r w:rsidRPr="007D4101">
        <w:rPr>
          <w:rFonts w:ascii="Arial" w:hAnsi="Arial" w:cs="Arial"/>
          <w:b/>
          <w:bCs/>
          <w:sz w:val="22"/>
          <w:szCs w:val="22"/>
        </w:rPr>
        <w:t xml:space="preserve">Distribution of genome size (left) and number of predicted genes (right). </w:t>
      </w:r>
      <w:r w:rsidRPr="007D4101">
        <w:rPr>
          <w:rFonts w:ascii="Arial" w:hAnsi="Arial" w:cs="Arial"/>
          <w:sz w:val="22"/>
          <w:szCs w:val="22"/>
        </w:rPr>
        <w:t>Both plots include data for genomes and high-quality prophages in the two existing families (</w:t>
      </w:r>
      <w:proofErr w:type="spellStart"/>
      <w:r w:rsidRPr="007D4101">
        <w:rPr>
          <w:rFonts w:ascii="Arial" w:hAnsi="Arial" w:cs="Arial"/>
          <w:i/>
          <w:iCs/>
          <w:sz w:val="22"/>
          <w:szCs w:val="22"/>
        </w:rPr>
        <w:t>Inoviridae</w:t>
      </w:r>
      <w:proofErr w:type="spellEnd"/>
      <w:r w:rsidRPr="007D4101">
        <w:rPr>
          <w:rFonts w:ascii="Arial" w:hAnsi="Arial" w:cs="Arial"/>
          <w:sz w:val="22"/>
          <w:szCs w:val="22"/>
        </w:rPr>
        <w:t xml:space="preserve"> and </w:t>
      </w:r>
      <w:proofErr w:type="spellStart"/>
      <w:r w:rsidRPr="007D4101">
        <w:rPr>
          <w:rFonts w:ascii="Arial" w:hAnsi="Arial" w:cs="Arial"/>
          <w:i/>
          <w:iCs/>
          <w:sz w:val="22"/>
          <w:szCs w:val="22"/>
        </w:rPr>
        <w:t>Plectroviridae</w:t>
      </w:r>
      <w:proofErr w:type="spellEnd"/>
      <w:r w:rsidRPr="007D4101">
        <w:rPr>
          <w:rFonts w:ascii="Arial" w:hAnsi="Arial" w:cs="Arial"/>
          <w:sz w:val="22"/>
          <w:szCs w:val="22"/>
        </w:rPr>
        <w:t>) and the proposed new family (</w:t>
      </w:r>
      <w:proofErr w:type="spellStart"/>
      <w:r w:rsidRPr="007D4101">
        <w:rPr>
          <w:rFonts w:ascii="Arial" w:hAnsi="Arial" w:cs="Arial"/>
          <w:i/>
          <w:iCs/>
          <w:sz w:val="22"/>
          <w:szCs w:val="22"/>
        </w:rPr>
        <w:t>Paulinoviridae</w:t>
      </w:r>
      <w:proofErr w:type="spellEnd"/>
      <w:r w:rsidRPr="007D4101">
        <w:rPr>
          <w:rFonts w:ascii="Arial" w:hAnsi="Arial" w:cs="Arial"/>
          <w:sz w:val="22"/>
          <w:szCs w:val="22"/>
        </w:rPr>
        <w:t>).</w:t>
      </w:r>
    </w:p>
    <w:p w14:paraId="3B2B23D3" w14:textId="77777777" w:rsidR="000C0E8A" w:rsidRDefault="000C0E8A">
      <w:pPr>
        <w:rPr>
          <w:rFonts w:ascii="Arial" w:hAnsi="Arial" w:cs="Arial"/>
          <w:b/>
          <w:sz w:val="22"/>
          <w:szCs w:val="22"/>
        </w:rPr>
      </w:pPr>
    </w:p>
    <w:p w14:paraId="010A2A67" w14:textId="77777777" w:rsidR="000C0E8A" w:rsidRDefault="000C0E8A">
      <w:pPr>
        <w:rPr>
          <w:rFonts w:ascii="Arial" w:hAnsi="Arial" w:cs="Arial"/>
          <w:sz w:val="22"/>
          <w:szCs w:val="22"/>
        </w:rPr>
      </w:pPr>
    </w:p>
    <w:p w14:paraId="7E094F3C" w14:textId="77777777" w:rsidR="000C0E8A" w:rsidRDefault="000C0E8A">
      <w:pPr>
        <w:rPr>
          <w:rFonts w:ascii="Arial" w:hAnsi="Arial" w:cs="Arial"/>
          <w:b/>
          <w:sz w:val="22"/>
          <w:szCs w:val="22"/>
        </w:rPr>
      </w:pPr>
    </w:p>
    <w:p w14:paraId="4631BC3D" w14:textId="77777777" w:rsidR="000C0E8A" w:rsidRDefault="000C0E8A">
      <w:pPr>
        <w:rPr>
          <w:rFonts w:ascii="Arial" w:hAnsi="Arial" w:cs="Arial"/>
          <w:b/>
          <w:sz w:val="22"/>
          <w:szCs w:val="22"/>
        </w:rPr>
      </w:pPr>
    </w:p>
    <w:p w14:paraId="7D0F56E2" w14:textId="77777777" w:rsidR="000C0E8A" w:rsidRDefault="000C0E8A">
      <w:pPr>
        <w:rPr>
          <w:rFonts w:ascii="Arial" w:hAnsi="Arial" w:cs="Arial"/>
          <w:b/>
          <w:sz w:val="22"/>
          <w:szCs w:val="22"/>
        </w:rPr>
      </w:pPr>
    </w:p>
    <w:p w14:paraId="50851D6D" w14:textId="77777777" w:rsidR="000C0E8A" w:rsidRDefault="000C0E8A">
      <w:pPr>
        <w:rPr>
          <w:rFonts w:ascii="Arial" w:hAnsi="Arial" w:cs="Arial"/>
          <w:b/>
          <w:sz w:val="22"/>
          <w:szCs w:val="22"/>
        </w:rPr>
      </w:pPr>
    </w:p>
    <w:p w14:paraId="1DC6CC38" w14:textId="77777777" w:rsidR="000C0E8A" w:rsidRDefault="000C0E8A">
      <w:pPr>
        <w:rPr>
          <w:rFonts w:ascii="Arial" w:hAnsi="Arial" w:cs="Arial"/>
          <w:b/>
          <w:sz w:val="22"/>
          <w:szCs w:val="22"/>
        </w:rPr>
      </w:pPr>
    </w:p>
    <w:p w14:paraId="6E955037" w14:textId="77777777" w:rsidR="000C0E8A" w:rsidRDefault="000C0E8A">
      <w:pPr>
        <w:rPr>
          <w:rFonts w:ascii="Arial" w:hAnsi="Arial" w:cs="Arial"/>
          <w:b/>
          <w:sz w:val="22"/>
          <w:szCs w:val="22"/>
        </w:rPr>
      </w:pPr>
    </w:p>
    <w:p w14:paraId="71333FF2" w14:textId="77777777" w:rsidR="000C0E8A" w:rsidRDefault="000C0E8A">
      <w:pPr>
        <w:rPr>
          <w:rFonts w:ascii="Arial" w:hAnsi="Arial" w:cs="Arial"/>
          <w:b/>
        </w:rPr>
      </w:pPr>
    </w:p>
    <w:p w14:paraId="56290B64" w14:textId="77777777" w:rsidR="000C0E8A" w:rsidRDefault="009216D0">
      <w:pPr>
        <w:spacing w:before="120" w:after="120"/>
        <w:rPr>
          <w:rFonts w:ascii="Arial" w:hAnsi="Arial" w:cs="Arial"/>
          <w:b/>
        </w:rPr>
      </w:pPr>
      <w:r>
        <w:rPr>
          <w:rFonts w:ascii="Arial" w:hAnsi="Arial" w:cs="Arial"/>
          <w:b/>
        </w:rPr>
        <w:t>References</w:t>
      </w:r>
    </w:p>
    <w:p w14:paraId="41A53DC1" w14:textId="77777777" w:rsidR="000C0E8A" w:rsidRDefault="000C0E8A">
      <w:pPr>
        <w:rPr>
          <w:rFonts w:ascii="Arial" w:hAnsi="Arial" w:cs="Arial"/>
          <w:color w:val="0000FF"/>
          <w:sz w:val="20"/>
        </w:rPr>
      </w:pPr>
    </w:p>
    <w:p w14:paraId="383F59DD" w14:textId="08BEB65F" w:rsidR="000C0E8A" w:rsidRPr="007D4101" w:rsidRDefault="009216D0" w:rsidP="007D4101">
      <w:pPr>
        <w:pStyle w:val="ListParagraph"/>
        <w:numPr>
          <w:ilvl w:val="0"/>
          <w:numId w:val="3"/>
        </w:numPr>
        <w:rPr>
          <w:color w:val="000000"/>
          <w:sz w:val="22"/>
          <w:szCs w:val="22"/>
        </w:rPr>
      </w:pPr>
      <w:proofErr w:type="spellStart"/>
      <w:r w:rsidRPr="007D4101">
        <w:rPr>
          <w:rFonts w:ascii="Arial" w:hAnsi="Arial" w:cs="Arial"/>
          <w:color w:val="000000"/>
          <w:sz w:val="22"/>
          <w:szCs w:val="22"/>
        </w:rPr>
        <w:t>Muhire</w:t>
      </w:r>
      <w:proofErr w:type="spellEnd"/>
      <w:r w:rsidRPr="007D4101">
        <w:rPr>
          <w:rFonts w:ascii="Arial" w:hAnsi="Arial" w:cs="Arial"/>
          <w:color w:val="000000"/>
          <w:sz w:val="22"/>
          <w:szCs w:val="22"/>
        </w:rPr>
        <w:t xml:space="preserve"> BM, </w:t>
      </w:r>
      <w:proofErr w:type="spellStart"/>
      <w:r w:rsidRPr="007D4101">
        <w:rPr>
          <w:rFonts w:ascii="Arial" w:hAnsi="Arial" w:cs="Arial"/>
          <w:color w:val="000000"/>
          <w:sz w:val="22"/>
          <w:szCs w:val="22"/>
        </w:rPr>
        <w:t>Varsani</w:t>
      </w:r>
      <w:proofErr w:type="spellEnd"/>
      <w:r w:rsidRPr="007D4101">
        <w:rPr>
          <w:rFonts w:ascii="Arial" w:hAnsi="Arial" w:cs="Arial"/>
          <w:color w:val="000000"/>
          <w:sz w:val="22"/>
          <w:szCs w:val="22"/>
        </w:rPr>
        <w:t xml:space="preserve"> A, Martin DP. SDT: a virus classification tool based on pairwise sequence alignment and identity calculation. </w:t>
      </w:r>
      <w:proofErr w:type="spellStart"/>
      <w:r w:rsidRPr="007D4101">
        <w:rPr>
          <w:rFonts w:ascii="Arial" w:hAnsi="Arial" w:cs="Arial"/>
          <w:color w:val="000000"/>
          <w:sz w:val="22"/>
          <w:szCs w:val="22"/>
        </w:rPr>
        <w:t>PLoS</w:t>
      </w:r>
      <w:proofErr w:type="spellEnd"/>
      <w:r w:rsidRPr="007D4101">
        <w:rPr>
          <w:rFonts w:ascii="Arial" w:hAnsi="Arial" w:cs="Arial"/>
          <w:color w:val="000000"/>
          <w:sz w:val="22"/>
          <w:szCs w:val="22"/>
        </w:rPr>
        <w:t xml:space="preserve"> One. 2014; 9(9</w:t>
      </w:r>
      <w:proofErr w:type="gramStart"/>
      <w:r w:rsidRPr="007D4101">
        <w:rPr>
          <w:rFonts w:ascii="Arial" w:hAnsi="Arial" w:cs="Arial"/>
          <w:color w:val="000000"/>
          <w:sz w:val="22"/>
          <w:szCs w:val="22"/>
        </w:rPr>
        <w:t>):e</w:t>
      </w:r>
      <w:proofErr w:type="gramEnd"/>
      <w:r w:rsidRPr="007D4101">
        <w:rPr>
          <w:rFonts w:ascii="Arial" w:hAnsi="Arial" w:cs="Arial"/>
          <w:color w:val="000000"/>
          <w:sz w:val="22"/>
          <w:szCs w:val="22"/>
        </w:rPr>
        <w:t xml:space="preserve">108277. </w:t>
      </w:r>
      <w:proofErr w:type="spellStart"/>
      <w:r w:rsidRPr="007D4101">
        <w:rPr>
          <w:rFonts w:ascii="Arial" w:hAnsi="Arial" w:cs="Arial"/>
          <w:color w:val="000000"/>
          <w:sz w:val="22"/>
          <w:szCs w:val="22"/>
        </w:rPr>
        <w:t>doi</w:t>
      </w:r>
      <w:proofErr w:type="spellEnd"/>
      <w:r w:rsidRPr="007D4101">
        <w:rPr>
          <w:rFonts w:ascii="Arial" w:hAnsi="Arial" w:cs="Arial"/>
          <w:color w:val="000000"/>
          <w:sz w:val="22"/>
          <w:szCs w:val="22"/>
        </w:rPr>
        <w:t>: 10.1371/journal.pone.0108277. PMID: 25259891</w:t>
      </w:r>
    </w:p>
    <w:p w14:paraId="716757E9" w14:textId="77777777" w:rsidR="000C0E8A" w:rsidRPr="007D4101" w:rsidRDefault="009216D0" w:rsidP="007D4101">
      <w:pPr>
        <w:pStyle w:val="ListParagraph"/>
        <w:numPr>
          <w:ilvl w:val="0"/>
          <w:numId w:val="3"/>
        </w:numPr>
        <w:rPr>
          <w:sz w:val="22"/>
          <w:szCs w:val="22"/>
        </w:rPr>
      </w:pPr>
      <w:r w:rsidRPr="007D4101">
        <w:rPr>
          <w:rFonts w:ascii="Arial" w:hAnsi="Arial" w:cs="Arial"/>
          <w:color w:val="000000"/>
          <w:sz w:val="22"/>
          <w:szCs w:val="22"/>
        </w:rPr>
        <w:t xml:space="preserve">Roux S, </w:t>
      </w:r>
      <w:proofErr w:type="spellStart"/>
      <w:r w:rsidRPr="007D4101">
        <w:rPr>
          <w:rFonts w:ascii="Arial" w:hAnsi="Arial" w:cs="Arial"/>
          <w:color w:val="000000"/>
          <w:sz w:val="22"/>
          <w:szCs w:val="22"/>
        </w:rPr>
        <w:t>Krupovic</w:t>
      </w:r>
      <w:proofErr w:type="spellEnd"/>
      <w:r w:rsidRPr="007D4101">
        <w:rPr>
          <w:rFonts w:ascii="Arial" w:hAnsi="Arial" w:cs="Arial"/>
          <w:color w:val="000000"/>
          <w:sz w:val="22"/>
          <w:szCs w:val="22"/>
        </w:rPr>
        <w:t xml:space="preserve"> M, Daly RA, Borges AL, </w:t>
      </w:r>
      <w:proofErr w:type="spellStart"/>
      <w:r w:rsidRPr="007D4101">
        <w:rPr>
          <w:rFonts w:ascii="Arial" w:hAnsi="Arial" w:cs="Arial"/>
          <w:color w:val="000000"/>
          <w:sz w:val="22"/>
          <w:szCs w:val="22"/>
        </w:rPr>
        <w:t>Nayfach</w:t>
      </w:r>
      <w:proofErr w:type="spellEnd"/>
      <w:r w:rsidRPr="007D4101">
        <w:rPr>
          <w:rFonts w:ascii="Arial" w:hAnsi="Arial" w:cs="Arial"/>
          <w:color w:val="000000"/>
          <w:sz w:val="22"/>
          <w:szCs w:val="22"/>
        </w:rPr>
        <w:t xml:space="preserve"> S, Schulz F, </w:t>
      </w:r>
      <w:proofErr w:type="spellStart"/>
      <w:r w:rsidRPr="007D4101">
        <w:rPr>
          <w:rFonts w:ascii="Arial" w:hAnsi="Arial" w:cs="Arial"/>
          <w:color w:val="000000"/>
          <w:sz w:val="22"/>
          <w:szCs w:val="22"/>
        </w:rPr>
        <w:t>Sharrar</w:t>
      </w:r>
      <w:proofErr w:type="spellEnd"/>
      <w:r w:rsidRPr="007D4101">
        <w:rPr>
          <w:rFonts w:ascii="Arial" w:hAnsi="Arial" w:cs="Arial"/>
          <w:color w:val="000000"/>
          <w:sz w:val="22"/>
          <w:szCs w:val="22"/>
        </w:rPr>
        <w:t xml:space="preserve"> A, Matheus </w:t>
      </w:r>
      <w:proofErr w:type="spellStart"/>
      <w:r w:rsidRPr="007D4101">
        <w:rPr>
          <w:rFonts w:ascii="Arial" w:hAnsi="Arial" w:cs="Arial"/>
          <w:color w:val="000000"/>
          <w:sz w:val="22"/>
          <w:szCs w:val="22"/>
        </w:rPr>
        <w:t>Carnevali</w:t>
      </w:r>
      <w:proofErr w:type="spellEnd"/>
      <w:r w:rsidRPr="007D4101">
        <w:rPr>
          <w:rFonts w:ascii="Arial" w:hAnsi="Arial" w:cs="Arial"/>
          <w:color w:val="000000"/>
          <w:sz w:val="22"/>
          <w:szCs w:val="22"/>
        </w:rPr>
        <w:t xml:space="preserve"> PB, Cheng JF, Ivanova NN, </w:t>
      </w:r>
      <w:proofErr w:type="spellStart"/>
      <w:r w:rsidRPr="007D4101">
        <w:rPr>
          <w:rFonts w:ascii="Arial" w:hAnsi="Arial" w:cs="Arial"/>
          <w:color w:val="000000"/>
          <w:sz w:val="22"/>
          <w:szCs w:val="22"/>
        </w:rPr>
        <w:t>Bondy-Denomy</w:t>
      </w:r>
      <w:proofErr w:type="spellEnd"/>
      <w:r w:rsidRPr="007D4101">
        <w:rPr>
          <w:rFonts w:ascii="Arial" w:hAnsi="Arial" w:cs="Arial"/>
          <w:color w:val="000000"/>
          <w:sz w:val="22"/>
          <w:szCs w:val="22"/>
        </w:rPr>
        <w:t xml:space="preserve"> J, </w:t>
      </w:r>
      <w:proofErr w:type="spellStart"/>
      <w:r w:rsidRPr="007D4101">
        <w:rPr>
          <w:rFonts w:ascii="Arial" w:hAnsi="Arial" w:cs="Arial"/>
          <w:color w:val="000000"/>
          <w:sz w:val="22"/>
          <w:szCs w:val="22"/>
        </w:rPr>
        <w:t>Wrighton</w:t>
      </w:r>
      <w:proofErr w:type="spellEnd"/>
      <w:r w:rsidRPr="007D4101">
        <w:rPr>
          <w:rFonts w:ascii="Arial" w:hAnsi="Arial" w:cs="Arial"/>
          <w:color w:val="000000"/>
          <w:sz w:val="22"/>
          <w:szCs w:val="22"/>
        </w:rPr>
        <w:t xml:space="preserve"> KC, </w:t>
      </w:r>
      <w:proofErr w:type="spellStart"/>
      <w:r w:rsidRPr="007D4101">
        <w:rPr>
          <w:rFonts w:ascii="Arial" w:hAnsi="Arial" w:cs="Arial"/>
          <w:color w:val="000000"/>
          <w:sz w:val="22"/>
          <w:szCs w:val="22"/>
        </w:rPr>
        <w:t>Woyke</w:t>
      </w:r>
      <w:proofErr w:type="spellEnd"/>
      <w:r w:rsidRPr="007D4101">
        <w:rPr>
          <w:rFonts w:ascii="Arial" w:hAnsi="Arial" w:cs="Arial"/>
          <w:color w:val="000000"/>
          <w:sz w:val="22"/>
          <w:szCs w:val="22"/>
        </w:rPr>
        <w:t xml:space="preserve"> T, </w:t>
      </w:r>
      <w:proofErr w:type="spellStart"/>
      <w:r w:rsidRPr="007D4101">
        <w:rPr>
          <w:rFonts w:ascii="Arial" w:hAnsi="Arial" w:cs="Arial"/>
          <w:color w:val="000000"/>
          <w:sz w:val="22"/>
          <w:szCs w:val="22"/>
        </w:rPr>
        <w:t>Visel</w:t>
      </w:r>
      <w:proofErr w:type="spellEnd"/>
      <w:r w:rsidRPr="007D4101">
        <w:rPr>
          <w:rFonts w:ascii="Arial" w:hAnsi="Arial" w:cs="Arial"/>
          <w:color w:val="000000"/>
          <w:sz w:val="22"/>
          <w:szCs w:val="22"/>
        </w:rPr>
        <w:t xml:space="preserve"> A, </w:t>
      </w:r>
      <w:proofErr w:type="spellStart"/>
      <w:r w:rsidRPr="007D4101">
        <w:rPr>
          <w:rFonts w:ascii="Arial" w:hAnsi="Arial" w:cs="Arial"/>
          <w:color w:val="000000"/>
          <w:sz w:val="22"/>
          <w:szCs w:val="22"/>
        </w:rPr>
        <w:t>Kyrpides</w:t>
      </w:r>
      <w:proofErr w:type="spellEnd"/>
      <w:r w:rsidRPr="007D4101">
        <w:rPr>
          <w:rFonts w:ascii="Arial" w:hAnsi="Arial" w:cs="Arial"/>
          <w:color w:val="000000"/>
          <w:sz w:val="22"/>
          <w:szCs w:val="22"/>
        </w:rPr>
        <w:t xml:space="preserve"> NC, </w:t>
      </w:r>
      <w:proofErr w:type="spellStart"/>
      <w:r w:rsidRPr="007D4101">
        <w:rPr>
          <w:rFonts w:ascii="Arial" w:hAnsi="Arial" w:cs="Arial"/>
          <w:color w:val="000000"/>
          <w:sz w:val="22"/>
          <w:szCs w:val="22"/>
        </w:rPr>
        <w:t>Eloe-Fadrosh</w:t>
      </w:r>
      <w:proofErr w:type="spellEnd"/>
      <w:r w:rsidRPr="007D4101">
        <w:rPr>
          <w:rFonts w:ascii="Arial" w:hAnsi="Arial" w:cs="Arial"/>
          <w:color w:val="000000"/>
          <w:sz w:val="22"/>
          <w:szCs w:val="22"/>
        </w:rPr>
        <w:t xml:space="preserve"> EA. Cryptic </w:t>
      </w:r>
      <w:proofErr w:type="spellStart"/>
      <w:r w:rsidRPr="007D4101">
        <w:rPr>
          <w:rFonts w:ascii="Arial" w:hAnsi="Arial" w:cs="Arial"/>
          <w:color w:val="000000"/>
          <w:sz w:val="22"/>
          <w:szCs w:val="22"/>
        </w:rPr>
        <w:t>inoviruses</w:t>
      </w:r>
      <w:proofErr w:type="spellEnd"/>
      <w:r w:rsidRPr="007D4101">
        <w:rPr>
          <w:rFonts w:ascii="Arial" w:hAnsi="Arial" w:cs="Arial"/>
          <w:color w:val="000000"/>
          <w:sz w:val="22"/>
          <w:szCs w:val="22"/>
        </w:rPr>
        <w:t xml:space="preserve"> revealed as pervasive in bacteria and archaea across Earth's biomes. Nat Microbiol. 2019; 4(11):1895-1906. </w:t>
      </w:r>
      <w:proofErr w:type="spellStart"/>
      <w:r w:rsidRPr="007D4101">
        <w:rPr>
          <w:rFonts w:ascii="Arial" w:hAnsi="Arial" w:cs="Arial"/>
          <w:color w:val="000000"/>
          <w:sz w:val="22"/>
          <w:szCs w:val="22"/>
        </w:rPr>
        <w:t>doi</w:t>
      </w:r>
      <w:proofErr w:type="spellEnd"/>
      <w:r w:rsidRPr="007D4101">
        <w:rPr>
          <w:rFonts w:ascii="Arial" w:hAnsi="Arial" w:cs="Arial"/>
          <w:color w:val="000000"/>
          <w:sz w:val="22"/>
          <w:szCs w:val="22"/>
        </w:rPr>
        <w:t>: 10.1038/s41564-019-0510-x. PMID: 31332386</w:t>
      </w:r>
    </w:p>
    <w:sectPr w:rsidR="000C0E8A" w:rsidRPr="007D4101">
      <w:headerReference w:type="default" r:id="rId10"/>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ED01BFF" w14:textId="77777777" w:rsidR="002175EF" w:rsidRDefault="002175EF">
      <w:r>
        <w:separator/>
      </w:r>
    </w:p>
  </w:endnote>
  <w:endnote w:type="continuationSeparator" w:id="0">
    <w:p w14:paraId="71875632" w14:textId="77777777" w:rsidR="002175EF" w:rsidRDefault="002175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ᢰℐ翩"/>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roman"/>
    <w:pitch w:val="variable"/>
  </w:font>
  <w:font w:name="Noto Sans CJK SC">
    <w:panose1 w:val="020B0604020202020204"/>
    <w:charset w:val="00"/>
    <w:family w:val="roman"/>
    <w:pitch w:val="default"/>
  </w:font>
  <w:font w:name="Lohit Devanagari">
    <w:altName w:val="Cambria"/>
    <w:panose1 w:val="020B0604020202020204"/>
    <w:charset w:val="00"/>
    <w:family w:val="roman"/>
    <w:pitch w:val="default"/>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17E9749" w14:textId="77777777" w:rsidR="002175EF" w:rsidRDefault="002175EF">
      <w:r>
        <w:separator/>
      </w:r>
    </w:p>
  </w:footnote>
  <w:footnote w:type="continuationSeparator" w:id="0">
    <w:p w14:paraId="625EB156" w14:textId="77777777" w:rsidR="002175EF" w:rsidRDefault="002175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1EC9BF" w14:textId="77777777" w:rsidR="000C0E8A" w:rsidRDefault="009216D0">
    <w:pPr>
      <w:pStyle w:val="Header"/>
      <w:jc w:val="right"/>
    </w:pPr>
    <w:r>
      <w:t>March 2020</w:t>
    </w:r>
  </w:p>
  <w:p w14:paraId="1E2E6294" w14:textId="77777777" w:rsidR="000C0E8A" w:rsidRDefault="000C0E8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BDC5120"/>
    <w:multiLevelType w:val="hybridMultilevel"/>
    <w:tmpl w:val="8F764B8C"/>
    <w:lvl w:ilvl="0" w:tplc="B3C64FA6">
      <w:start w:val="1"/>
      <w:numFmt w:val="decimal"/>
      <w:lvlText w:val="%1."/>
      <w:lvlJc w:val="left"/>
      <w:pPr>
        <w:ind w:left="720" w:hanging="360"/>
      </w:pPr>
      <w:rPr>
        <w:rFonts w:ascii="Arial" w:hAnsi="Arial" w:cs="Arial" w:hint="default"/>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4AF2684F"/>
    <w:multiLevelType w:val="multilevel"/>
    <w:tmpl w:val="C724502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 w15:restartNumberingAfterBreak="0">
    <w:nsid w:val="51C1188E"/>
    <w:multiLevelType w:val="multilevel"/>
    <w:tmpl w:val="73C26C6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0E8A"/>
    <w:rsid w:val="000C0E8A"/>
    <w:rsid w:val="002175EF"/>
    <w:rsid w:val="002507B0"/>
    <w:rsid w:val="00302EFC"/>
    <w:rsid w:val="004C6B2A"/>
    <w:rsid w:val="006D6D75"/>
    <w:rsid w:val="00761BF7"/>
    <w:rsid w:val="007D4101"/>
    <w:rsid w:val="009216D0"/>
    <w:rsid w:val="00A1253D"/>
    <w:rsid w:val="00A14375"/>
    <w:rsid w:val="00BA7FB9"/>
    <w:rsid w:val="00BB3DC8"/>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decimalSymbol w:val="."/>
  <w:listSeparator w:val=","/>
  <w14:docId w14:val="3F7C42E4"/>
  <w15:docId w15:val="{B269621E-54AD-2049-B6A5-B1D98F4961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styleId="CommentReference">
    <w:name w:val="annotation reference"/>
    <w:basedOn w:val="DefaultParagraphFont"/>
    <w:uiPriority w:val="99"/>
    <w:semiHidden/>
    <w:unhideWhenUsed/>
    <w:qFormat/>
    <w:rsid w:val="00F60139"/>
    <w:rPr>
      <w:sz w:val="16"/>
      <w:szCs w:val="16"/>
    </w:rPr>
  </w:style>
  <w:style w:type="character" w:customStyle="1" w:styleId="CommentTextChar">
    <w:name w:val="Comment Text Char"/>
    <w:basedOn w:val="DefaultParagraphFont"/>
    <w:link w:val="CommentText"/>
    <w:uiPriority w:val="99"/>
    <w:semiHidden/>
    <w:qFormat/>
    <w:rsid w:val="00F60139"/>
    <w:rPr>
      <w:rFonts w:ascii="Times New Roman" w:eastAsia="Times New Roman" w:hAnsi="Times New Roman" w:cs="Times New Roman"/>
      <w:sz w:val="20"/>
      <w:szCs w:val="20"/>
      <w:lang w:val="en-US"/>
    </w:rPr>
  </w:style>
  <w:style w:type="character" w:customStyle="1" w:styleId="CommentSubjectChar">
    <w:name w:val="Comment Subject Char"/>
    <w:basedOn w:val="CommentTextChar"/>
    <w:link w:val="CommentSubject"/>
    <w:uiPriority w:val="99"/>
    <w:semiHidden/>
    <w:qFormat/>
    <w:rsid w:val="00F60139"/>
    <w:rPr>
      <w:rFonts w:ascii="Times New Roman" w:eastAsia="Times New Roman" w:hAnsi="Times New Roman" w:cs="Times New Roman"/>
      <w:b/>
      <w:bCs/>
      <w:sz w:val="20"/>
      <w:szCs w:val="20"/>
      <w:lang w:val="en-US"/>
    </w:rPr>
  </w:style>
  <w:style w:type="paragraph" w:customStyle="1" w:styleId="Heading">
    <w:name w:val="Heading"/>
    <w:basedOn w:val="Normal"/>
    <w:next w:val="BodyText"/>
    <w:qFormat/>
    <w:pPr>
      <w:keepNext/>
      <w:spacing w:before="240" w:after="120"/>
    </w:pPr>
    <w:rPr>
      <w:rFonts w:ascii="Liberation Sans" w:eastAsia="Noto Sans CJK SC" w:hAnsi="Liberation Sans" w:cs="Lohit Devanagari"/>
      <w:sz w:val="28"/>
      <w:szCs w:val="28"/>
    </w:rPr>
  </w:style>
  <w:style w:type="paragraph" w:styleId="BodyText">
    <w:name w:val="Body Text"/>
    <w:basedOn w:val="Normal"/>
    <w:pPr>
      <w:spacing w:after="140" w:line="276" w:lineRule="auto"/>
    </w:pPr>
  </w:style>
  <w:style w:type="paragraph" w:styleId="List">
    <w:name w:val="List"/>
    <w:basedOn w:val="BodyText"/>
    <w:rPr>
      <w:rFonts w:cs="Lohit Devanagari"/>
    </w:rPr>
  </w:style>
  <w:style w:type="paragraph" w:styleId="Caption">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paragraph" w:styleId="CommentText">
    <w:name w:val="annotation text"/>
    <w:basedOn w:val="Normal"/>
    <w:link w:val="CommentTextChar"/>
    <w:uiPriority w:val="99"/>
    <w:semiHidden/>
    <w:unhideWhenUsed/>
    <w:qFormat/>
    <w:rsid w:val="00F60139"/>
    <w:rPr>
      <w:sz w:val="20"/>
      <w:szCs w:val="20"/>
    </w:rPr>
  </w:style>
  <w:style w:type="paragraph" w:styleId="CommentSubject">
    <w:name w:val="annotation subject"/>
    <w:basedOn w:val="CommentText"/>
    <w:next w:val="CommentText"/>
    <w:link w:val="CommentSubjectChar"/>
    <w:uiPriority w:val="99"/>
    <w:semiHidden/>
    <w:unhideWhenUsed/>
    <w:qFormat/>
    <w:rsid w:val="00F60139"/>
    <w:rPr>
      <w:b/>
      <w:bCs/>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D410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6</Pages>
  <Words>1256</Words>
  <Characters>7163</Characters>
  <Application>Microsoft Office Word</Application>
  <DocSecurity>0</DocSecurity>
  <Lines>59</Lines>
  <Paragraphs>16</Paragraphs>
  <ScaleCrop>false</ScaleCrop>
  <Company/>
  <LinksUpToDate>false</LinksUpToDate>
  <CharactersWithSpaces>8403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Peter Walker</cp:lastModifiedBy>
  <cp:revision>7</cp:revision>
  <dcterms:created xsi:type="dcterms:W3CDTF">2020-04-29T07:23:00Z</dcterms:created>
  <dcterms:modified xsi:type="dcterms:W3CDTF">2021-03-04T05:52:00Z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