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3E184CFF" w:rsidR="00A174CC" w:rsidRDefault="005433C7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320AE6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2021.002D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12D02EB2" w:rsidR="00A174CC" w:rsidRDefault="008815EE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2218F7" w:rsidRPr="00074842">
              <w:rPr>
                <w:rFonts w:ascii="Arial" w:hAnsi="Arial" w:cs="Arial"/>
                <w:sz w:val="22"/>
                <w:szCs w:val="22"/>
              </w:rPr>
              <w:t xml:space="preserve">Create one new species in the genus </w:t>
            </w:r>
            <w:r w:rsidR="002218F7" w:rsidRPr="00755359">
              <w:rPr>
                <w:rFonts w:ascii="Arial" w:hAnsi="Arial" w:cs="Arial"/>
                <w:i/>
                <w:sz w:val="22"/>
                <w:szCs w:val="22"/>
              </w:rPr>
              <w:t>Mutorquevirus</w:t>
            </w:r>
            <w:r w:rsidR="00BA3B7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A3B7E" w:rsidRPr="00BC1FFA">
              <w:rPr>
                <w:rFonts w:ascii="Arial" w:hAnsi="Arial" w:cs="Arial"/>
                <w:sz w:val="22"/>
                <w:szCs w:val="22"/>
              </w:rPr>
              <w:t>(</w:t>
            </w:r>
            <w:r w:rsidR="00BA3B7E" w:rsidRPr="00BA3B7E">
              <w:rPr>
                <w:rFonts w:ascii="Arial" w:hAnsi="Arial" w:cs="Arial"/>
                <w:i/>
                <w:sz w:val="22"/>
                <w:szCs w:val="22"/>
              </w:rPr>
              <w:tab/>
              <w:t>Anelloviridae</w:t>
            </w:r>
            <w:r w:rsidR="00BA3B7E" w:rsidRPr="00BC1FFA">
              <w:rPr>
                <w:rFonts w:ascii="Arial" w:hAnsi="Arial" w:cs="Arial"/>
                <w:sz w:val="22"/>
                <w:szCs w:val="22"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083BB4">
        <w:tc>
          <w:tcPr>
            <w:tcW w:w="4368" w:type="dxa"/>
            <w:shd w:val="clear" w:color="auto" w:fill="auto"/>
          </w:tcPr>
          <w:p w14:paraId="2A8645CB" w14:textId="77777777" w:rsidR="002218F7" w:rsidRPr="000B468A" w:rsidRDefault="002218F7" w:rsidP="002218F7">
            <w:pPr>
              <w:rPr>
                <w:rFonts w:ascii="Arial" w:hAnsi="Arial" w:cs="Arial"/>
                <w:sz w:val="22"/>
                <w:szCs w:val="22"/>
              </w:rPr>
            </w:pPr>
            <w:r w:rsidRPr="000B468A">
              <w:rPr>
                <w:rFonts w:ascii="Arial" w:hAnsi="Arial" w:cs="Arial"/>
                <w:sz w:val="22"/>
                <w:szCs w:val="22"/>
              </w:rPr>
              <w:t>Fisher M, Harrison T, Nebroski M, Kruczkiewicz P, Davies J, Lung O</w:t>
            </w:r>
          </w:p>
          <w:p w14:paraId="46FB5663" w14:textId="77777777" w:rsidR="00A174CC" w:rsidRPr="000B468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332DF380" w14:textId="77777777" w:rsidR="00A174CC" w:rsidRPr="000B468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E33FAF" w14:textId="77777777" w:rsidR="00A174CC" w:rsidRPr="000B468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D0EC94F" w14:textId="77777777" w:rsidR="00A174CC" w:rsidRPr="000B468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Pr="000B468A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17F63837" w14:textId="77777777" w:rsidR="002218F7" w:rsidRPr="000B468A" w:rsidRDefault="008F5169" w:rsidP="002218F7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2218F7" w:rsidRPr="000B468A">
                <w:rPr>
                  <w:rStyle w:val="Hyperlink"/>
                  <w:rFonts w:ascii="Arial" w:hAnsi="Arial" w:cs="Arial"/>
                  <w:sz w:val="22"/>
                  <w:szCs w:val="22"/>
                </w:rPr>
                <w:t>mathew.fisher@canada.ca</w:t>
              </w:r>
            </w:hyperlink>
            <w:r w:rsidR="002218F7" w:rsidRPr="000B468A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9" w:history="1">
              <w:r w:rsidR="002218F7" w:rsidRPr="000B468A">
                <w:rPr>
                  <w:rStyle w:val="Hyperlink"/>
                  <w:rFonts w:ascii="Arial" w:hAnsi="Arial" w:cs="Arial"/>
                  <w:sz w:val="22"/>
                  <w:szCs w:val="22"/>
                </w:rPr>
                <w:t>thomas.harrison@canada.ca</w:t>
              </w:r>
            </w:hyperlink>
            <w:r w:rsidR="002218F7" w:rsidRPr="000B468A">
              <w:rPr>
                <w:rFonts w:ascii="Arial" w:hAnsi="Arial" w:cs="Arial"/>
                <w:sz w:val="22"/>
                <w:szCs w:val="22"/>
              </w:rPr>
              <w:t xml:space="preserve">; </w:t>
            </w:r>
            <w:hyperlink r:id="rId10" w:history="1">
              <w:r w:rsidR="002218F7" w:rsidRPr="000B468A">
                <w:rPr>
                  <w:rStyle w:val="Hyperlink"/>
                  <w:rFonts w:ascii="Arial" w:hAnsi="Arial" w:cs="Arial"/>
                  <w:sz w:val="22"/>
                  <w:szCs w:val="22"/>
                </w:rPr>
                <w:t>michelle.nebroski@canada.ca</w:t>
              </w:r>
            </w:hyperlink>
            <w:r w:rsidR="002218F7" w:rsidRPr="000B468A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5BD75F42" w14:textId="77777777" w:rsidR="002218F7" w:rsidRPr="000B468A" w:rsidRDefault="008F5169" w:rsidP="002218F7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2218F7" w:rsidRPr="000B468A">
                <w:rPr>
                  <w:rStyle w:val="Hyperlink"/>
                  <w:rFonts w:ascii="Arial" w:hAnsi="Arial" w:cs="Arial"/>
                  <w:sz w:val="22"/>
                  <w:szCs w:val="22"/>
                </w:rPr>
                <w:t>peter.kruczkiewicz@canada.ca</w:t>
              </w:r>
            </w:hyperlink>
            <w:r w:rsidR="002218F7" w:rsidRPr="000B468A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706E598A" w14:textId="77777777" w:rsidR="002218F7" w:rsidRPr="000B468A" w:rsidRDefault="008F5169" w:rsidP="002218F7">
            <w:pPr>
              <w:rPr>
                <w:rFonts w:ascii="Arial" w:hAnsi="Arial" w:cs="Arial"/>
                <w:sz w:val="22"/>
                <w:szCs w:val="22"/>
              </w:rPr>
            </w:pPr>
            <w:hyperlink r:id="rId12" w:history="1">
              <w:r w:rsidR="002218F7" w:rsidRPr="000B468A">
                <w:rPr>
                  <w:rStyle w:val="Hyperlink"/>
                  <w:rFonts w:ascii="Arial" w:hAnsi="Arial" w:cs="Arial"/>
                  <w:sz w:val="22"/>
                  <w:szCs w:val="22"/>
                </w:rPr>
                <w:t>jdav@ucalgary.ca</w:t>
              </w:r>
            </w:hyperlink>
            <w:r w:rsidR="002218F7" w:rsidRPr="000B468A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4C0145EC" w14:textId="546DF8EB" w:rsidR="00A174CC" w:rsidRPr="000B468A" w:rsidRDefault="008F5169" w:rsidP="002218F7">
            <w:pPr>
              <w:rPr>
                <w:rFonts w:ascii="Arial" w:hAnsi="Arial" w:cs="Arial"/>
                <w:sz w:val="22"/>
                <w:szCs w:val="22"/>
              </w:rPr>
            </w:pPr>
            <w:hyperlink r:id="rId13" w:history="1">
              <w:r w:rsidR="002218F7" w:rsidRPr="000B468A">
                <w:rPr>
                  <w:rStyle w:val="Hyperlink"/>
                  <w:rFonts w:ascii="Arial" w:hAnsi="Arial" w:cs="Arial"/>
                  <w:sz w:val="22"/>
                  <w:szCs w:val="22"/>
                </w:rPr>
                <w:t>oliver.lung@canada.ca</w:t>
              </w:r>
            </w:hyperlink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467A41D" w14:textId="77777777">
        <w:tc>
          <w:tcPr>
            <w:tcW w:w="9072" w:type="dxa"/>
            <w:shd w:val="clear" w:color="auto" w:fill="auto"/>
          </w:tcPr>
          <w:p w14:paraId="697B1926" w14:textId="77777777" w:rsidR="002218F7" w:rsidRPr="005771A3" w:rsidRDefault="002218F7" w:rsidP="002218F7">
            <w:pPr>
              <w:rPr>
                <w:rFonts w:ascii="Arial" w:hAnsi="Arial" w:cs="Arial"/>
                <w:sz w:val="22"/>
                <w:szCs w:val="22"/>
              </w:rPr>
            </w:pPr>
            <w:r w:rsidRPr="005771A3">
              <w:rPr>
                <w:rFonts w:ascii="Arial" w:hAnsi="Arial" w:cs="Arial"/>
                <w:sz w:val="22"/>
                <w:szCs w:val="22"/>
              </w:rPr>
              <w:t>National Centre for Foreign Animal Disease, Canadian Food Inspection Agency, Winnipeg, MB, Canada [FM, HT, NM, KP, LO]</w:t>
            </w:r>
          </w:p>
          <w:p w14:paraId="3280A79D" w14:textId="77777777" w:rsidR="002218F7" w:rsidRPr="005771A3" w:rsidRDefault="002218F7" w:rsidP="002218F7">
            <w:pPr>
              <w:rPr>
                <w:rFonts w:ascii="Arial" w:hAnsi="Arial" w:cs="Arial"/>
                <w:sz w:val="22"/>
                <w:szCs w:val="22"/>
              </w:rPr>
            </w:pPr>
          </w:p>
          <w:p w14:paraId="0CAAFF97" w14:textId="77777777" w:rsidR="002218F7" w:rsidRPr="005771A3" w:rsidRDefault="002218F7" w:rsidP="002218F7">
            <w:pPr>
              <w:rPr>
                <w:rFonts w:ascii="Arial" w:hAnsi="Arial" w:cs="Arial"/>
                <w:sz w:val="22"/>
                <w:szCs w:val="22"/>
              </w:rPr>
            </w:pPr>
            <w:r w:rsidRPr="005771A3">
              <w:rPr>
                <w:rFonts w:ascii="Arial" w:hAnsi="Arial" w:cs="Arial"/>
                <w:sz w:val="22"/>
                <w:szCs w:val="22"/>
              </w:rPr>
              <w:t>Faculty of Veterinary Medicine, University of Calgary, Calgary, AB, Canada</w:t>
            </w:r>
            <w:r>
              <w:rPr>
                <w:rFonts w:ascii="Arial" w:hAnsi="Arial" w:cs="Arial"/>
                <w:sz w:val="22"/>
                <w:szCs w:val="22"/>
              </w:rPr>
              <w:t xml:space="preserve"> [DJ]</w:t>
            </w:r>
          </w:p>
          <w:p w14:paraId="171BF742" w14:textId="77777777" w:rsidR="002218F7" w:rsidRPr="005771A3" w:rsidRDefault="002218F7" w:rsidP="002218F7">
            <w:pPr>
              <w:rPr>
                <w:rFonts w:ascii="Arial" w:hAnsi="Arial" w:cs="Arial"/>
                <w:sz w:val="22"/>
                <w:szCs w:val="22"/>
              </w:rPr>
            </w:pPr>
          </w:p>
          <w:p w14:paraId="0AC2CACD" w14:textId="452B96B9" w:rsidR="00A174CC" w:rsidRDefault="002218F7">
            <w:pPr>
              <w:rPr>
                <w:rFonts w:ascii="Arial" w:hAnsi="Arial" w:cs="Arial"/>
                <w:sz w:val="22"/>
                <w:szCs w:val="22"/>
              </w:rPr>
            </w:pPr>
            <w:r w:rsidRPr="005771A3">
              <w:rPr>
                <w:rFonts w:ascii="Arial" w:hAnsi="Arial" w:cs="Arial"/>
                <w:sz w:val="22"/>
                <w:szCs w:val="22"/>
              </w:rPr>
              <w:t>Department of Biological Sciences, University of Manitoba, Winnipeg, MB, Canada [LO]</w:t>
            </w:r>
          </w:p>
          <w:p w14:paraId="1033F5C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669D3F22" w:rsidR="00A174CC" w:rsidRDefault="002218F7">
            <w:pPr>
              <w:rPr>
                <w:rFonts w:ascii="Arial" w:hAnsi="Arial" w:cs="Arial"/>
                <w:sz w:val="22"/>
                <w:szCs w:val="22"/>
              </w:rPr>
            </w:pPr>
            <w:r w:rsidRPr="00EE4825">
              <w:rPr>
                <w:rFonts w:ascii="Arial" w:hAnsi="Arial" w:cs="Arial"/>
                <w:sz w:val="22"/>
                <w:szCs w:val="22"/>
              </w:rPr>
              <w:t>Lung O</w:t>
            </w: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AC026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531EC2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 w:rsidTr="00083BB4">
        <w:tc>
          <w:tcPr>
            <w:tcW w:w="7939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77777777" w:rsidR="00A174CC" w:rsidRDefault="00A174CC"/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27258FEC" w:rsidR="00A174CC" w:rsidRDefault="00D76DF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Pr="00D76DF3">
              <w:rPr>
                <w:rFonts w:ascii="Arial" w:hAnsi="Arial" w:cs="Arial"/>
                <w:sz w:val="22"/>
                <w:szCs w:val="22"/>
                <w:vertAlign w:val="superscript"/>
              </w:rPr>
              <w:t>st</w:t>
            </w:r>
            <w:r>
              <w:rPr>
                <w:rFonts w:ascii="Arial" w:hAnsi="Arial" w:cs="Arial"/>
                <w:sz w:val="22"/>
                <w:szCs w:val="22"/>
              </w:rPr>
              <w:t xml:space="preserve"> April 2021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53D3F3EB" w:rsidR="00A174CC" w:rsidRDefault="00DF7BB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</w:t>
            </w:r>
            <w:r w:rsidRPr="00DF7BB7">
              <w:rPr>
                <w:rFonts w:ascii="Arial" w:hAnsi="Arial" w:cs="Arial"/>
                <w:sz w:val="22"/>
                <w:szCs w:val="22"/>
                <w:vertAlign w:val="superscript"/>
              </w:rPr>
              <w:t>th</w:t>
            </w:r>
            <w:r>
              <w:rPr>
                <w:rFonts w:ascii="Arial" w:hAnsi="Arial" w:cs="Arial"/>
                <w:sz w:val="22"/>
                <w:szCs w:val="22"/>
              </w:rPr>
              <w:t xml:space="preserve"> April 2021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0757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EBE0B8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BCD55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8B5F7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D9604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DFD7819" w14:textId="77777777" w:rsidR="00A174CC" w:rsidRDefault="00A174CC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F9EA1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29735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DEC36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FD805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D31C873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E3AFC1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EDA5FF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A18E2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2D76A2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110B8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1F30E75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47E79FD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0DF2D9B5" w:rsidR="00A174CC" w:rsidRPr="00320AE6" w:rsidRDefault="00BE2D6A" w:rsidP="00310FDF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320AE6">
              <w:rPr>
                <w:rFonts w:ascii="Arial" w:hAnsi="Arial" w:cs="Arial"/>
                <w:bCs/>
                <w:sz w:val="22"/>
                <w:szCs w:val="22"/>
              </w:rPr>
              <w:t>2021.002D.</w:t>
            </w:r>
            <w:r w:rsidR="000F3924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320AE6">
              <w:rPr>
                <w:rFonts w:ascii="Arial" w:hAnsi="Arial" w:cs="Arial"/>
                <w:bCs/>
                <w:sz w:val="22"/>
                <w:szCs w:val="22"/>
              </w:rPr>
              <w:t>.Anelloviridae_1nsp.xlsx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4AF0277B" w14:textId="4E7F7058" w:rsidR="00A174CC" w:rsidRPr="00D76DF3" w:rsidRDefault="002218F7" w:rsidP="00DE7800">
            <w:pPr>
              <w:rPr>
                <w:rFonts w:ascii="Arial" w:hAnsi="Arial" w:cs="Arial"/>
                <w:sz w:val="22"/>
                <w:szCs w:val="22"/>
              </w:rPr>
            </w:pPr>
            <w:r w:rsidRPr="00D76DF3">
              <w:rPr>
                <w:rFonts w:ascii="Arial" w:hAnsi="Arial" w:cs="Arial"/>
                <w:sz w:val="22"/>
                <w:szCs w:val="22"/>
              </w:rPr>
              <w:t xml:space="preserve">Here we propose the </w:t>
            </w:r>
            <w:r w:rsidR="00D76DF3">
              <w:rPr>
                <w:rFonts w:ascii="Arial" w:hAnsi="Arial" w:cs="Arial"/>
                <w:sz w:val="22"/>
                <w:szCs w:val="22"/>
              </w:rPr>
              <w:t>establishment</w:t>
            </w:r>
            <w:r w:rsidR="00D76DF3" w:rsidRPr="00D76DF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of a new species to the </w:t>
            </w:r>
            <w:r w:rsidRPr="00D76DF3">
              <w:rPr>
                <w:rFonts w:ascii="Arial" w:hAnsi="Arial" w:cs="Arial"/>
                <w:i/>
                <w:sz w:val="22"/>
                <w:szCs w:val="22"/>
              </w:rPr>
              <w:t>Mutorquevirus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 genus, name </w:t>
            </w:r>
            <w:r w:rsidR="00D76DF3" w:rsidRPr="001A1445">
              <w:rPr>
                <w:rFonts w:ascii="Arial" w:hAnsi="Arial" w:cs="Arial"/>
                <w:i/>
                <w:sz w:val="22"/>
                <w:szCs w:val="22"/>
              </w:rPr>
              <w:t>Mutorquevirus equid2</w:t>
            </w:r>
            <w:r w:rsidR="00D76DF3" w:rsidRPr="001A144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76DF3">
              <w:rPr>
                <w:rFonts w:ascii="Arial" w:hAnsi="Arial" w:cs="Arial"/>
                <w:sz w:val="22"/>
                <w:szCs w:val="22"/>
              </w:rPr>
              <w:t>to accomodate</w:t>
            </w:r>
            <w:r w:rsidR="00D76DF3" w:rsidRPr="001A1445">
              <w:rPr>
                <w:rFonts w:ascii="Arial" w:hAnsi="Arial" w:cs="Arial"/>
                <w:sz w:val="22"/>
                <w:szCs w:val="22"/>
              </w:rPr>
              <w:t xml:space="preserve"> a recently identified virus </w:t>
            </w:r>
            <w:r w:rsidRPr="00D76DF3">
              <w:rPr>
                <w:rFonts w:ascii="Arial" w:hAnsi="Arial" w:cs="Arial"/>
                <w:sz w:val="22"/>
                <w:szCs w:val="22"/>
              </w:rPr>
              <w:t>torque teno equus virus 2 (TTEqV2). The 2,805 nucleotide complete circular genome</w:t>
            </w:r>
            <w:r w:rsidR="00D76DF3">
              <w:rPr>
                <w:rFonts w:ascii="Arial" w:hAnsi="Arial" w:cs="Arial"/>
                <w:sz w:val="22"/>
                <w:szCs w:val="22"/>
              </w:rPr>
              <w:t xml:space="preserve"> of TTEqV2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 was sequenced from post-mortem lung and liver tissue of a Quarter Horse (</w:t>
            </w:r>
            <w:r w:rsidRPr="00D76DF3">
              <w:rPr>
                <w:rFonts w:ascii="Arial" w:hAnsi="Arial" w:cs="Arial"/>
                <w:i/>
                <w:sz w:val="22"/>
                <w:szCs w:val="22"/>
              </w:rPr>
              <w:t>Equus caballus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), assembled and compared to other publically available sequences. It was determined that the closest match was the only other currently publicly available member of </w:t>
            </w:r>
            <w:r w:rsidRPr="00D76DF3">
              <w:rPr>
                <w:rFonts w:ascii="Arial" w:hAnsi="Arial" w:cs="Arial"/>
                <w:i/>
                <w:sz w:val="22"/>
                <w:szCs w:val="22"/>
              </w:rPr>
              <w:t>Mutorquevirus</w:t>
            </w:r>
            <w:r w:rsidRPr="00D76DF3">
              <w:rPr>
                <w:rFonts w:ascii="Arial" w:hAnsi="Arial" w:cs="Arial"/>
                <w:sz w:val="22"/>
                <w:szCs w:val="22"/>
              </w:rPr>
              <w:t>, torque teno equus virus 1 (</w:t>
            </w:r>
            <w:r w:rsidR="00EE0E82" w:rsidRPr="00D76DF3">
              <w:rPr>
                <w:rFonts w:ascii="Arial" w:hAnsi="Arial" w:cs="Arial"/>
                <w:sz w:val="22"/>
                <w:szCs w:val="22"/>
              </w:rPr>
              <w:t xml:space="preserve">TTEqV1, </w:t>
            </w:r>
            <w:r w:rsidRPr="00D76DF3">
              <w:rPr>
                <w:rFonts w:ascii="Arial" w:hAnsi="Arial" w:cs="Arial"/>
                <w:sz w:val="22"/>
                <w:szCs w:val="22"/>
              </w:rPr>
              <w:t>accession KR902501.1)</w:t>
            </w:r>
            <w:r w:rsidR="00AB16A5" w:rsidRPr="00D76DF3">
              <w:rPr>
                <w:rFonts w:ascii="Arial" w:hAnsi="Arial" w:cs="Arial"/>
                <w:sz w:val="22"/>
                <w:szCs w:val="22"/>
              </w:rPr>
              <w:t xml:space="preserve">, with </w:t>
            </w:r>
            <w:r w:rsidRPr="00D76DF3">
              <w:rPr>
                <w:rFonts w:ascii="Arial" w:hAnsi="Arial" w:cs="Arial"/>
                <w:sz w:val="22"/>
                <w:szCs w:val="22"/>
              </w:rPr>
              <w:t>a</w:t>
            </w:r>
            <w:r w:rsidR="00AB16A5" w:rsidRPr="00D76DF3">
              <w:rPr>
                <w:rFonts w:ascii="Arial" w:hAnsi="Arial" w:cs="Arial"/>
                <w:sz w:val="22"/>
                <w:szCs w:val="22"/>
              </w:rPr>
              <w:t>n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 ORF1 pairwise nucleotide identity of </w:t>
            </w:r>
            <w:r w:rsidR="00BA3B7E" w:rsidRPr="00D76DF3">
              <w:rPr>
                <w:rFonts w:ascii="Arial" w:hAnsi="Arial" w:cs="Arial"/>
                <w:sz w:val="22"/>
                <w:szCs w:val="22"/>
              </w:rPr>
              <w:t>59.7</w:t>
            </w:r>
            <w:r w:rsidRPr="00D76DF3">
              <w:rPr>
                <w:rFonts w:ascii="Arial" w:hAnsi="Arial" w:cs="Arial"/>
                <w:sz w:val="22"/>
                <w:szCs w:val="22"/>
              </w:rPr>
              <w:t>%.</w:t>
            </w:r>
            <w:r w:rsidR="00EE0E82" w:rsidRPr="00D76DF3">
              <w:rPr>
                <w:rFonts w:ascii="Arial" w:hAnsi="Arial" w:cs="Arial"/>
                <w:sz w:val="22"/>
                <w:szCs w:val="22"/>
              </w:rPr>
              <w:t xml:space="preserve"> Based on the absence of features highly conserved within </w:t>
            </w:r>
            <w:r w:rsidR="00EE0E82" w:rsidRPr="00D76DF3">
              <w:rPr>
                <w:rFonts w:ascii="Arial" w:hAnsi="Arial" w:cs="Arial"/>
                <w:i/>
                <w:sz w:val="22"/>
                <w:szCs w:val="22"/>
              </w:rPr>
              <w:t>Anelloviridae</w:t>
            </w:r>
            <w:r w:rsidR="00EE0E82" w:rsidRPr="00D76DF3">
              <w:rPr>
                <w:rFonts w:ascii="Arial" w:hAnsi="Arial" w:cs="Arial"/>
                <w:sz w:val="22"/>
                <w:szCs w:val="22"/>
              </w:rPr>
              <w:t>, we believe that the</w:t>
            </w:r>
            <w:r w:rsidR="00AB16A5" w:rsidRPr="00D76DF3">
              <w:rPr>
                <w:rFonts w:ascii="Arial" w:hAnsi="Arial" w:cs="Arial"/>
                <w:sz w:val="22"/>
                <w:szCs w:val="22"/>
              </w:rPr>
              <w:t xml:space="preserve"> untranslated region (UTR) of the</w:t>
            </w:r>
            <w:r w:rsidR="00EE0E82" w:rsidRPr="00D76DF3">
              <w:rPr>
                <w:rFonts w:ascii="Arial" w:hAnsi="Arial" w:cs="Arial"/>
                <w:sz w:val="22"/>
                <w:szCs w:val="22"/>
              </w:rPr>
              <w:t xml:space="preserve"> TTEqV1 genome is incomplete</w:t>
            </w:r>
            <w:r w:rsidR="00AB16A5" w:rsidRPr="00D76DF3">
              <w:rPr>
                <w:rFonts w:ascii="Arial" w:hAnsi="Arial" w:cs="Arial"/>
                <w:sz w:val="22"/>
                <w:szCs w:val="22"/>
              </w:rPr>
              <w:t>.</w:t>
            </w:r>
            <w:r w:rsidR="00EE0E82" w:rsidRPr="00D76DF3">
              <w:rPr>
                <w:rFonts w:ascii="Arial" w:hAnsi="Arial" w:cs="Arial"/>
                <w:sz w:val="22"/>
                <w:szCs w:val="22"/>
              </w:rPr>
              <w:t xml:space="preserve"> This would make TTEqV2 the first complete genome from </w:t>
            </w:r>
            <w:r w:rsidR="00EE0E82" w:rsidRPr="00D76DF3">
              <w:rPr>
                <w:rFonts w:ascii="Arial" w:hAnsi="Arial" w:cs="Arial"/>
                <w:i/>
                <w:sz w:val="22"/>
                <w:szCs w:val="22"/>
              </w:rPr>
              <w:t>Mutorquevirus</w:t>
            </w:r>
            <w:r w:rsidR="00EE0E82" w:rsidRPr="00D76DF3">
              <w:rPr>
                <w:rFonts w:ascii="Arial" w:hAnsi="Arial" w:cs="Arial"/>
                <w:sz w:val="22"/>
                <w:szCs w:val="22"/>
              </w:rPr>
              <w:t>.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 The annotated complete </w:t>
            </w:r>
            <w:r w:rsidR="00D76DF3">
              <w:rPr>
                <w:rFonts w:ascii="Arial" w:hAnsi="Arial" w:cs="Arial"/>
                <w:sz w:val="22"/>
                <w:szCs w:val="22"/>
              </w:rPr>
              <w:t>TTVEq2</w:t>
            </w:r>
            <w:r w:rsidRPr="00D76DF3">
              <w:rPr>
                <w:rFonts w:ascii="Arial" w:hAnsi="Arial" w:cs="Arial"/>
                <w:sz w:val="22"/>
                <w:szCs w:val="22"/>
              </w:rPr>
              <w:t xml:space="preserve"> genome has been uploaded to NCBI with accession </w:t>
            </w:r>
            <w:r w:rsidR="000B468A" w:rsidRPr="00D76DF3">
              <w:rPr>
                <w:rFonts w:ascii="Arial" w:hAnsi="Arial" w:cs="Arial"/>
                <w:sz w:val="22"/>
                <w:szCs w:val="22"/>
              </w:rPr>
              <w:t>MW842984</w:t>
            </w:r>
            <w:r w:rsidRPr="00D76DF3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2AB201D8" w14:textId="36CBFE86" w:rsidR="00DE7800" w:rsidRDefault="00DE7800" w:rsidP="00DE7800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5029904B" w14:textId="19EF5DC7" w:rsidR="00A174CC" w:rsidRDefault="002218F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F081F">
                    <w:rPr>
                      <w:rFonts w:ascii="Arial" w:hAnsi="Arial" w:cs="Arial"/>
                      <w:sz w:val="22"/>
                      <w:szCs w:val="22"/>
                    </w:rPr>
                    <w:t>The 2,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8</w:t>
                  </w:r>
                  <w:r w:rsidRPr="007F081F">
                    <w:rPr>
                      <w:rFonts w:ascii="Arial" w:hAnsi="Arial" w:cs="Arial"/>
                      <w:sz w:val="22"/>
                      <w:szCs w:val="22"/>
                    </w:rPr>
                    <w:t>05 nucleotide complete circular genome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D76DF3">
                    <w:rPr>
                      <w:rFonts w:ascii="Arial" w:hAnsi="Arial" w:cs="Arial"/>
                      <w:sz w:val="22"/>
                      <w:szCs w:val="22"/>
                    </w:rPr>
                    <w:t>of TTVEqV2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(Table 1) showed the highest degree of nucleotide identity to </w:t>
                  </w:r>
                  <w:r w:rsidRPr="007F081F">
                    <w:rPr>
                      <w:rFonts w:ascii="Arial" w:hAnsi="Arial" w:cs="Arial"/>
                      <w:sz w:val="22"/>
                      <w:szCs w:val="22"/>
                    </w:rPr>
                    <w:t>torque teno equus virus 1 (</w:t>
                  </w:r>
                  <w:r w:rsidR="00306D64">
                    <w:rPr>
                      <w:rFonts w:ascii="Arial" w:hAnsi="Arial" w:cs="Arial"/>
                      <w:sz w:val="22"/>
                      <w:szCs w:val="22"/>
                    </w:rPr>
                    <w:t xml:space="preserve">TTEqV1, </w:t>
                  </w:r>
                  <w:r w:rsidRPr="007F081F">
                    <w:rPr>
                      <w:rFonts w:ascii="Arial" w:hAnsi="Arial" w:cs="Arial"/>
                      <w:sz w:val="22"/>
                      <w:szCs w:val="22"/>
                    </w:rPr>
                    <w:t>accession KR902501.1)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which is currently the only publicly available </w:t>
                  </w:r>
                  <w:r w:rsidR="0064777A">
                    <w:rPr>
                      <w:rFonts w:ascii="Arial" w:hAnsi="Arial" w:cs="Arial"/>
                      <w:sz w:val="22"/>
                      <w:szCs w:val="22"/>
                    </w:rPr>
                    <w:t xml:space="preserve">sequence from a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member of the </w:t>
                  </w:r>
                  <w:r w:rsidRPr="00C9711F">
                    <w:rPr>
                      <w:rFonts w:ascii="Arial" w:hAnsi="Arial" w:cs="Arial"/>
                      <w:i/>
                      <w:sz w:val="22"/>
                      <w:szCs w:val="22"/>
                    </w:rPr>
                    <w:t>Mutorquevirus</w:t>
                  </w:r>
                  <w:r w:rsidRPr="00C9711F">
                    <w:rPr>
                      <w:rFonts w:ascii="Arial" w:hAnsi="Arial" w:cs="Arial"/>
                      <w:sz w:val="22"/>
                      <w:szCs w:val="22"/>
                    </w:rPr>
                    <w:t xml:space="preserve"> genus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306D64">
                    <w:rPr>
                      <w:rFonts w:ascii="Arial" w:hAnsi="Arial" w:cs="Arial"/>
                      <w:sz w:val="22"/>
                      <w:szCs w:val="22"/>
                    </w:rPr>
                    <w:t>The novel virus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 xml:space="preserve"> named torque teno equus virus 2 (TTEqV2)</w:t>
                  </w:r>
                  <w:r w:rsidR="009067A5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306D64">
                    <w:rPr>
                      <w:rFonts w:ascii="Arial" w:hAnsi="Arial" w:cs="Arial"/>
                      <w:sz w:val="22"/>
                      <w:szCs w:val="22"/>
                    </w:rPr>
                    <w:t xml:space="preserve"> showed 59.7%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genome-wide pairwise nucleotide identity</w:t>
                  </w:r>
                  <w:r w:rsidR="00306D64">
                    <w:rPr>
                      <w:rFonts w:ascii="Arial" w:hAnsi="Arial" w:cs="Arial"/>
                      <w:sz w:val="22"/>
                      <w:szCs w:val="22"/>
                    </w:rPr>
                    <w:t xml:space="preserve"> to TTEqV1. 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>When queried against the NCBI nr/nt database no other significant matches with higher percent identity were observed.</w:t>
                  </w:r>
                  <w:r w:rsidR="00306D6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>Anelloviruses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are classified into species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 xml:space="preserve"> and genera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using 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 xml:space="preserve">respective 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>threshold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of 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>65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>%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 xml:space="preserve"> and 44%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>pairwise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nucleotide identity</w:t>
                  </w:r>
                  <w:r w:rsidR="00B85677">
                    <w:rPr>
                      <w:rFonts w:ascii="Arial" w:hAnsi="Arial" w:cs="Arial"/>
                      <w:sz w:val="22"/>
                      <w:szCs w:val="22"/>
                    </w:rPr>
                    <w:t xml:space="preserve"> of ORF1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[1</w:t>
                  </w:r>
                  <w:r w:rsidR="00083BB4">
                    <w:rPr>
                      <w:rFonts w:ascii="Arial" w:hAnsi="Arial" w:cs="Arial"/>
                      <w:sz w:val="22"/>
                      <w:szCs w:val="22"/>
                    </w:rPr>
                    <w:t>, 2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>].</w:t>
                  </w:r>
                  <w:r w:rsidR="00306D6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Based on the nucleotide identity and phylogenetic support presented here (Figure 1), </w:t>
                  </w:r>
                  <w:r w:rsidR="00083BB4">
                    <w:rPr>
                      <w:rFonts w:ascii="Arial" w:hAnsi="Arial" w:cs="Arial"/>
                      <w:sz w:val="22"/>
                      <w:szCs w:val="22"/>
                    </w:rPr>
                    <w:t>TTEqV2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 should be classified as </w:t>
                  </w:r>
                  <w:r w:rsidR="00083BB4">
                    <w:rPr>
                      <w:rFonts w:ascii="Arial" w:hAnsi="Arial" w:cs="Arial"/>
                      <w:sz w:val="22"/>
                      <w:szCs w:val="22"/>
                    </w:rPr>
                    <w:t xml:space="preserve">a </w:t>
                  </w:r>
                  <w:r w:rsidR="00D76DF3">
                    <w:rPr>
                      <w:rFonts w:ascii="Arial" w:hAnsi="Arial" w:cs="Arial"/>
                      <w:sz w:val="22"/>
                      <w:szCs w:val="22"/>
                    </w:rPr>
                    <w:t xml:space="preserve">member of a 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 xml:space="preserve">new species within the genus </w:t>
                  </w:r>
                  <w:r w:rsidR="00083BB4" w:rsidRPr="00C9711F">
                    <w:rPr>
                      <w:rFonts w:ascii="Arial" w:hAnsi="Arial" w:cs="Arial"/>
                      <w:i/>
                      <w:sz w:val="22"/>
                      <w:szCs w:val="22"/>
                    </w:rPr>
                    <w:t>Mutorquevirus</w:t>
                  </w:r>
                  <w:r w:rsidR="00306D64" w:rsidRPr="00BC1FFA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14EAC4F5" w14:textId="4EF02E2C" w:rsidR="00EE0E82" w:rsidRDefault="00EE0E82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7930153" w14:textId="3D612FF2" w:rsidR="00A174CC" w:rsidRDefault="00EE0E82" w:rsidP="00DE780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Comparative genomic analysis of both TTEqV sequences found 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 xml:space="preserve">that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several genomic features</w:t>
                  </w:r>
                  <w:r w:rsidR="00E912EC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 xml:space="preserve"> which are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highly conserved within 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="00204FC4">
                    <w:rPr>
                      <w:rFonts w:ascii="Arial" w:hAnsi="Arial" w:cs="Arial"/>
                      <w:sz w:val="22"/>
                      <w:szCs w:val="22"/>
                    </w:rPr>
                    <w:t>untranslated region (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>UTR</w:t>
                  </w:r>
                  <w:r w:rsidR="00204FC4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 of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anelloviruses</w:t>
                  </w:r>
                  <w:r w:rsidR="00E912EC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were absent in TTEqV1 but present in TTEqV2</w:t>
                  </w:r>
                  <w:r w:rsidR="00204FC4">
                    <w:rPr>
                      <w:rFonts w:ascii="Arial" w:hAnsi="Arial" w:cs="Arial"/>
                      <w:sz w:val="22"/>
                      <w:szCs w:val="22"/>
                    </w:rPr>
                    <w:t xml:space="preserve"> (Figure 2).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04FC4">
                    <w:rPr>
                      <w:rFonts w:ascii="Arial" w:hAnsi="Arial" w:cs="Arial"/>
                      <w:sz w:val="22"/>
                      <w:szCs w:val="22"/>
                    </w:rPr>
                    <w:t>This appears to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 indicate </w:t>
                  </w:r>
                  <w:r w:rsidR="00204FC4">
                    <w:rPr>
                      <w:rFonts w:ascii="Arial" w:hAnsi="Arial" w:cs="Arial"/>
                      <w:sz w:val="22"/>
                      <w:szCs w:val="22"/>
                    </w:rPr>
                    <w:t xml:space="preserve">that 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>the UTR of TTEqV1 is incomplete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The 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missing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features include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>a</w:t>
                  </w:r>
                  <w:r w:rsidR="00904177">
                    <w:rPr>
                      <w:rFonts w:ascii="Arial" w:hAnsi="Arial" w:cs="Arial"/>
                      <w:sz w:val="22"/>
                      <w:szCs w:val="22"/>
                    </w:rPr>
                    <w:t>t least one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904177">
                    <w:rPr>
                      <w:rFonts w:ascii="Arial" w:hAnsi="Arial" w:cs="Arial"/>
                      <w:sz w:val="22"/>
                      <w:szCs w:val="22"/>
                    </w:rPr>
                    <w:t>GC-rich region</w:t>
                  </w:r>
                  <w:r w:rsidR="00390F36">
                    <w:rPr>
                      <w:rFonts w:ascii="Arial" w:hAnsi="Arial" w:cs="Arial"/>
                      <w:sz w:val="22"/>
                      <w:szCs w:val="22"/>
                    </w:rPr>
                    <w:t xml:space="preserve"> [3]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 and the first of 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>two</w:t>
                  </w:r>
                  <w:r w:rsidR="000F03FE">
                    <w:rPr>
                      <w:rFonts w:ascii="Arial" w:hAnsi="Arial" w:cs="Arial"/>
                      <w:sz w:val="22"/>
                      <w:szCs w:val="22"/>
                    </w:rPr>
                    <w:t xml:space="preserve"> highly conserved 15 nucleotide motifs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0F03FE" w:rsidRPr="000F03FE">
                    <w:rPr>
                      <w:rFonts w:ascii="Arial" w:hAnsi="Arial" w:cs="Arial"/>
                      <w:sz w:val="22"/>
                      <w:szCs w:val="22"/>
                    </w:rPr>
                    <w:t>CGAATGGCTGAGTTT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390F36">
                    <w:rPr>
                      <w:rFonts w:ascii="Arial" w:hAnsi="Arial" w:cs="Arial"/>
                      <w:sz w:val="22"/>
                      <w:szCs w:val="22"/>
                    </w:rPr>
                    <w:t xml:space="preserve"> [4-7]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643C43">
                    <w:rPr>
                      <w:rFonts w:ascii="Arial" w:hAnsi="Arial" w:cs="Arial"/>
                      <w:sz w:val="22"/>
                      <w:szCs w:val="22"/>
                    </w:rPr>
                    <w:t xml:space="preserve"> Likely as a result of the missing region, TTEqV1 (2</w:t>
                  </w:r>
                  <w:r w:rsidR="00DE7800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643C43">
                    <w:rPr>
                      <w:rFonts w:ascii="Arial" w:hAnsi="Arial" w:cs="Arial"/>
                      <w:sz w:val="22"/>
                      <w:szCs w:val="22"/>
                    </w:rPr>
                    <w:t>197 nucleotides) is significantly shorter than TTEqV2 (2</w:t>
                  </w:r>
                  <w:r w:rsidR="00DE7800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643C43">
                    <w:rPr>
                      <w:rFonts w:ascii="Arial" w:hAnsi="Arial" w:cs="Arial"/>
                      <w:sz w:val="22"/>
                      <w:szCs w:val="22"/>
                    </w:rPr>
                    <w:t>805 nucleotides).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It is worth noting that ORF1, which is currently used for species demarcation, appear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to be complete in TTEqV1. Based on this analysis, TTEqV2 appears to be the first complete genome </w:t>
                  </w:r>
                  <w:r w:rsidR="009A1BE1">
                    <w:rPr>
                      <w:rFonts w:ascii="Arial" w:hAnsi="Arial" w:cs="Arial"/>
                      <w:sz w:val="22"/>
                      <w:szCs w:val="22"/>
                    </w:rPr>
                    <w:t xml:space="preserve">from the genus </w:t>
                  </w:r>
                  <w:r w:rsidRPr="000B3101">
                    <w:rPr>
                      <w:rFonts w:ascii="Arial" w:hAnsi="Arial" w:cs="Arial"/>
                      <w:i/>
                      <w:sz w:val="22"/>
                      <w:szCs w:val="22"/>
                    </w:rPr>
                    <w:t>Mutorquevirus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5917C70" w14:textId="7A277A7D" w:rsidR="00DE7800" w:rsidRDefault="00DE7800" w:rsidP="00DE7800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574FE57D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tbl>
      <w:tblPr>
        <w:tblW w:w="8280" w:type="dxa"/>
        <w:jc w:val="center"/>
        <w:tblLook w:val="04A0" w:firstRow="1" w:lastRow="0" w:firstColumn="1" w:lastColumn="0" w:noHBand="0" w:noVBand="1"/>
      </w:tblPr>
      <w:tblGrid>
        <w:gridCol w:w="1434"/>
        <w:gridCol w:w="1286"/>
        <w:gridCol w:w="1044"/>
        <w:gridCol w:w="1298"/>
        <w:gridCol w:w="1170"/>
        <w:gridCol w:w="2340"/>
      </w:tblGrid>
      <w:tr w:rsidR="002218F7" w14:paraId="2DDEE29B" w14:textId="77777777" w:rsidTr="00DC2A08">
        <w:trPr>
          <w:trHeight w:val="300"/>
          <w:jc w:val="center"/>
        </w:trPr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9114BB4" w14:textId="77777777" w:rsidR="002218F7" w:rsidRDefault="002218F7" w:rsidP="00DC2A0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Species name</w:t>
            </w:r>
          </w:p>
        </w:tc>
        <w:tc>
          <w:tcPr>
            <w:tcW w:w="12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7923094" w14:textId="77777777" w:rsidR="002218F7" w:rsidRDefault="002218F7" w:rsidP="00DC2A0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GenBank accession</w:t>
            </w:r>
          </w:p>
        </w:tc>
        <w:tc>
          <w:tcPr>
            <w:tcW w:w="10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2E5E5EBB" w14:textId="77777777" w:rsidR="002218F7" w:rsidRDefault="002218F7" w:rsidP="00DC2A0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Virus acronym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7564F1EA" w14:textId="77777777" w:rsidR="002218F7" w:rsidRDefault="002218F7" w:rsidP="00DC2A0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Isolate ID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CA190E0" w14:textId="77777777" w:rsidR="002218F7" w:rsidRDefault="002218F7" w:rsidP="00DC2A0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Country of Isolate</w:t>
            </w: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D3FA663" w14:textId="77777777" w:rsidR="002218F7" w:rsidRDefault="002218F7" w:rsidP="00DC2A0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Host/isolation source</w:t>
            </w:r>
          </w:p>
        </w:tc>
      </w:tr>
      <w:tr w:rsidR="002218F7" w14:paraId="1822C93A" w14:textId="77777777" w:rsidTr="00DC2A08">
        <w:trPr>
          <w:trHeight w:val="300"/>
          <w:jc w:val="center"/>
        </w:trPr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AA82874" w14:textId="428EBABF" w:rsidR="002218F7" w:rsidRDefault="00D76DF3" w:rsidP="00DC2A08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D76DF3">
              <w:rPr>
                <w:rFonts w:ascii="Calibri" w:hAnsi="Calibri" w:cs="Calibri"/>
                <w:color w:val="000000"/>
                <w:sz w:val="20"/>
                <w:szCs w:val="20"/>
              </w:rPr>
              <w:t>Mutorquevirus equid2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0024C34F" w14:textId="6F78502A" w:rsidR="002218F7" w:rsidRDefault="000B468A" w:rsidP="00DC2A08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B468A">
              <w:rPr>
                <w:rFonts w:ascii="Calibri" w:hAnsi="Calibri" w:cs="Calibri"/>
                <w:color w:val="000000"/>
                <w:sz w:val="20"/>
                <w:szCs w:val="20"/>
              </w:rPr>
              <w:t>MW842984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1D656706" w14:textId="77777777" w:rsidR="002218F7" w:rsidRDefault="002218F7" w:rsidP="00DC2A08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TTEqV2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62E02EF" w14:textId="0C5025AE" w:rsidR="002218F7" w:rsidRDefault="000B468A" w:rsidP="00DC2A08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Alberta/2018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3E336410" w14:textId="77777777" w:rsidR="002218F7" w:rsidRDefault="002218F7" w:rsidP="00DC2A08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sz w:val="20"/>
                <w:szCs w:val="20"/>
              </w:rPr>
              <w:t>Canada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5492A077" w14:textId="77777777" w:rsidR="002218F7" w:rsidRDefault="002218F7" w:rsidP="00DC2A08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4801E5">
              <w:rPr>
                <w:rFonts w:ascii="Calibri" w:hAnsi="Calibri" w:cs="Calibri"/>
                <w:color w:val="000000"/>
                <w:sz w:val="20"/>
                <w:szCs w:val="20"/>
              </w:rPr>
              <w:t>Equus caballus</w:t>
            </w:r>
          </w:p>
        </w:tc>
      </w:tr>
    </w:tbl>
    <w:p w14:paraId="3B032889" w14:textId="4C28A3E2" w:rsidR="002218F7" w:rsidRDefault="002218F7" w:rsidP="002218F7">
      <w:pPr>
        <w:rPr>
          <w:rFonts w:ascii="Arial" w:hAnsi="Arial" w:cs="Arial"/>
          <w:i/>
          <w:sz w:val="20"/>
          <w:szCs w:val="20"/>
        </w:rPr>
      </w:pPr>
      <w:r w:rsidRPr="00023AEF">
        <w:rPr>
          <w:rFonts w:ascii="Arial" w:hAnsi="Arial" w:cs="Arial"/>
          <w:b/>
          <w:sz w:val="20"/>
          <w:szCs w:val="20"/>
        </w:rPr>
        <w:t>Table 1.</w:t>
      </w: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Summary of details regarding the proposed novel species belonging to the genus </w:t>
      </w:r>
      <w:r w:rsidRPr="007F081F">
        <w:rPr>
          <w:rFonts w:ascii="Arial" w:hAnsi="Arial" w:cs="Arial"/>
          <w:i/>
          <w:sz w:val="20"/>
          <w:szCs w:val="20"/>
        </w:rPr>
        <w:t>Mutorquevirus</w:t>
      </w:r>
    </w:p>
    <w:p w14:paraId="4E23FBC1" w14:textId="557DEF1B" w:rsidR="00B85677" w:rsidRDefault="00B85677" w:rsidP="002218F7">
      <w:pPr>
        <w:rPr>
          <w:rFonts w:ascii="Arial" w:hAnsi="Arial" w:cs="Arial"/>
          <w:i/>
          <w:sz w:val="20"/>
          <w:szCs w:val="20"/>
        </w:rPr>
      </w:pPr>
    </w:p>
    <w:p w14:paraId="5B4AD066" w14:textId="6029C0FB" w:rsidR="00B85677" w:rsidRDefault="00B85677" w:rsidP="002218F7">
      <w:pPr>
        <w:rPr>
          <w:rFonts w:ascii="Arial" w:hAnsi="Arial" w:cs="Arial"/>
          <w:i/>
          <w:sz w:val="20"/>
          <w:szCs w:val="20"/>
        </w:rPr>
      </w:pPr>
    </w:p>
    <w:p w14:paraId="3CDD348D" w14:textId="0D35D71F" w:rsidR="00B85677" w:rsidRDefault="00B85677" w:rsidP="002218F7">
      <w:pPr>
        <w:rPr>
          <w:rFonts w:ascii="Arial" w:hAnsi="Arial" w:cs="Arial"/>
          <w:i/>
          <w:sz w:val="20"/>
          <w:szCs w:val="20"/>
        </w:rPr>
      </w:pPr>
    </w:p>
    <w:p w14:paraId="658A8831" w14:textId="77777777" w:rsidR="00B85677" w:rsidRDefault="00B85677" w:rsidP="002218F7">
      <w:pPr>
        <w:rPr>
          <w:rFonts w:ascii="Arial" w:hAnsi="Arial" w:cs="Arial"/>
          <w:b/>
          <w:sz w:val="22"/>
          <w:szCs w:val="22"/>
        </w:rPr>
      </w:pPr>
    </w:p>
    <w:p w14:paraId="2F23CF3E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0BD24768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D0A1802" w14:textId="082895D0" w:rsidR="00A174CC" w:rsidRDefault="008F5169" w:rsidP="00083BB4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 w14:anchorId="27906AA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76.9pt;height:558.1pt;mso-width-percent:0;mso-height-percent:0;mso-width-percent:0;mso-height-percent:0">
            <v:imagedata r:id="rId14" o:title="TTEqV2_RefSeq_ORF1_nt_iqtree"/>
          </v:shape>
        </w:pict>
      </w:r>
    </w:p>
    <w:p w14:paraId="2747B32F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04B1DD3B" w14:textId="4DCC97FE" w:rsidR="00A174CC" w:rsidRDefault="00B85677">
      <w:pPr>
        <w:rPr>
          <w:rFonts w:ascii="Arial" w:hAnsi="Arial" w:cs="Arial"/>
          <w:sz w:val="22"/>
          <w:szCs w:val="22"/>
        </w:rPr>
      </w:pPr>
      <w:r w:rsidRPr="00BC1FFA">
        <w:rPr>
          <w:rFonts w:ascii="Arial" w:hAnsi="Arial" w:cs="Arial"/>
          <w:b/>
          <w:sz w:val="22"/>
          <w:szCs w:val="22"/>
        </w:rPr>
        <w:t xml:space="preserve">Figure 1. </w:t>
      </w:r>
      <w:r w:rsidRPr="00BC1FFA">
        <w:rPr>
          <w:rFonts w:ascii="Arial" w:hAnsi="Arial" w:cs="Arial"/>
          <w:sz w:val="22"/>
          <w:szCs w:val="22"/>
        </w:rPr>
        <w:t xml:space="preserve">Maximum likelihood phylogenetic trees of representative sequences within the </w:t>
      </w:r>
      <w:r w:rsidRPr="00B85677">
        <w:rPr>
          <w:rFonts w:ascii="Arial" w:hAnsi="Arial" w:cs="Arial"/>
          <w:sz w:val="22"/>
          <w:szCs w:val="22"/>
        </w:rPr>
        <w:t xml:space="preserve">family </w:t>
      </w:r>
      <w:r w:rsidRPr="00BA12AD">
        <w:rPr>
          <w:rFonts w:ascii="Arial" w:hAnsi="Arial" w:cs="Arial"/>
          <w:i/>
          <w:sz w:val="22"/>
          <w:szCs w:val="22"/>
        </w:rPr>
        <w:t>Anellovirdae</w:t>
      </w:r>
      <w:r w:rsidRPr="00BC1FFA">
        <w:rPr>
          <w:rFonts w:ascii="Arial" w:hAnsi="Arial" w:cs="Arial"/>
          <w:sz w:val="22"/>
          <w:szCs w:val="22"/>
        </w:rPr>
        <w:t>. Sequences were aligned using MAFFT [</w:t>
      </w:r>
      <w:r w:rsidR="00390F36">
        <w:rPr>
          <w:rFonts w:ascii="Arial" w:hAnsi="Arial" w:cs="Arial"/>
          <w:sz w:val="22"/>
          <w:szCs w:val="22"/>
        </w:rPr>
        <w:t>8</w:t>
      </w:r>
      <w:r w:rsidRPr="00BC1FFA">
        <w:rPr>
          <w:rFonts w:ascii="Arial" w:hAnsi="Arial" w:cs="Arial"/>
          <w:sz w:val="22"/>
          <w:szCs w:val="22"/>
        </w:rPr>
        <w:t>], trees generated using IQ-Tree [</w:t>
      </w:r>
      <w:r w:rsidR="00390F36">
        <w:rPr>
          <w:rFonts w:ascii="Arial" w:hAnsi="Arial" w:cs="Arial"/>
          <w:sz w:val="22"/>
          <w:szCs w:val="22"/>
        </w:rPr>
        <w:t>9</w:t>
      </w:r>
      <w:r w:rsidRPr="00BC1FFA">
        <w:rPr>
          <w:rFonts w:ascii="Arial" w:hAnsi="Arial" w:cs="Arial"/>
          <w:sz w:val="22"/>
          <w:szCs w:val="22"/>
        </w:rPr>
        <w:t>] on find best model setting with ModelFinder [</w:t>
      </w:r>
      <w:r w:rsidR="00390F36">
        <w:rPr>
          <w:rFonts w:ascii="Arial" w:hAnsi="Arial" w:cs="Arial"/>
          <w:sz w:val="22"/>
          <w:szCs w:val="22"/>
        </w:rPr>
        <w:t>10</w:t>
      </w:r>
      <w:r w:rsidRPr="00BC1FFA">
        <w:rPr>
          <w:rFonts w:ascii="Arial" w:hAnsi="Arial" w:cs="Arial"/>
          <w:sz w:val="22"/>
          <w:szCs w:val="22"/>
        </w:rPr>
        <w:t>] with 1,000 ultrafast bootstraps [</w:t>
      </w:r>
      <w:r w:rsidR="00390F36">
        <w:rPr>
          <w:rFonts w:ascii="Arial" w:hAnsi="Arial" w:cs="Arial"/>
          <w:sz w:val="22"/>
          <w:szCs w:val="22"/>
        </w:rPr>
        <w:t>11</w:t>
      </w:r>
      <w:r w:rsidRPr="00BC1FFA">
        <w:rPr>
          <w:rFonts w:ascii="Arial" w:hAnsi="Arial" w:cs="Arial"/>
          <w:sz w:val="22"/>
          <w:szCs w:val="22"/>
        </w:rPr>
        <w:t>] and visualized with iTOL [</w:t>
      </w:r>
      <w:r w:rsidR="00390F36">
        <w:rPr>
          <w:rFonts w:ascii="Arial" w:hAnsi="Arial" w:cs="Arial"/>
          <w:sz w:val="22"/>
          <w:szCs w:val="22"/>
        </w:rPr>
        <w:t>12</w:t>
      </w:r>
      <w:r w:rsidRPr="00BC1FFA">
        <w:rPr>
          <w:rFonts w:ascii="Arial" w:hAnsi="Arial" w:cs="Arial"/>
          <w:sz w:val="22"/>
          <w:szCs w:val="22"/>
        </w:rPr>
        <w:t xml:space="preserve">]. </w:t>
      </w:r>
      <w:r>
        <w:rPr>
          <w:rFonts w:ascii="Arial" w:hAnsi="Arial" w:cs="Arial"/>
          <w:sz w:val="22"/>
          <w:szCs w:val="22"/>
        </w:rPr>
        <w:t>TTEqV2</w:t>
      </w:r>
      <w:r w:rsidRPr="00BC1FFA">
        <w:rPr>
          <w:rFonts w:ascii="Arial" w:hAnsi="Arial" w:cs="Arial"/>
          <w:sz w:val="22"/>
          <w:szCs w:val="22"/>
        </w:rPr>
        <w:t xml:space="preserve"> is indicated in bold text and with “•” before the sequence name</w:t>
      </w:r>
      <w:r>
        <w:rPr>
          <w:rFonts w:ascii="Arial" w:hAnsi="Arial" w:cs="Arial"/>
          <w:sz w:val="22"/>
          <w:szCs w:val="22"/>
        </w:rPr>
        <w:t>. A f</w:t>
      </w:r>
      <w:r w:rsidRPr="00BC1FFA">
        <w:rPr>
          <w:rFonts w:ascii="Arial" w:hAnsi="Arial" w:cs="Arial"/>
          <w:sz w:val="22"/>
          <w:szCs w:val="22"/>
        </w:rPr>
        <w:t>ull mid-point rooted phylogenetic tree generated from representative complete genome nucleot</w:t>
      </w:r>
      <w:r>
        <w:rPr>
          <w:rFonts w:ascii="Arial" w:hAnsi="Arial" w:cs="Arial"/>
          <w:sz w:val="22"/>
          <w:szCs w:val="22"/>
        </w:rPr>
        <w:t xml:space="preserve">ide sequences is shown (model </w:t>
      </w:r>
      <w:r w:rsidRPr="00B85677">
        <w:rPr>
          <w:rFonts w:ascii="Arial" w:hAnsi="Arial" w:cs="Arial"/>
          <w:sz w:val="22"/>
          <w:szCs w:val="22"/>
        </w:rPr>
        <w:t>GTR+F+R5</w:t>
      </w:r>
      <w:r>
        <w:rPr>
          <w:rFonts w:ascii="Arial" w:hAnsi="Arial" w:cs="Arial"/>
          <w:sz w:val="22"/>
          <w:szCs w:val="22"/>
        </w:rPr>
        <w:t>).</w:t>
      </w:r>
    </w:p>
    <w:p w14:paraId="1E8ACF4A" w14:textId="4E3F14F6" w:rsidR="000F03FE" w:rsidRDefault="000F03FE">
      <w:pPr>
        <w:rPr>
          <w:rFonts w:ascii="Arial" w:hAnsi="Arial" w:cs="Arial"/>
          <w:sz w:val="22"/>
          <w:szCs w:val="22"/>
        </w:rPr>
      </w:pPr>
    </w:p>
    <w:p w14:paraId="4D634874" w14:textId="50078C8E" w:rsidR="000F03FE" w:rsidRDefault="006F0C85" w:rsidP="00204FC4">
      <w:pPr>
        <w:spacing w:before="120" w:after="12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5C2F7C8E" wp14:editId="71050C72">
            <wp:extent cx="5666109" cy="5497494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914" cy="55050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17CC23" w14:textId="2126E3B8" w:rsidR="00612D8F" w:rsidRDefault="000F03FE">
      <w:pPr>
        <w:spacing w:before="120" w:after="120"/>
        <w:rPr>
          <w:rStyle w:val="CommentReference"/>
        </w:rPr>
      </w:pPr>
      <w:r w:rsidRPr="00BC1FFA">
        <w:rPr>
          <w:rFonts w:ascii="Arial" w:hAnsi="Arial" w:cs="Arial"/>
          <w:b/>
          <w:sz w:val="22"/>
          <w:szCs w:val="22"/>
        </w:rPr>
        <w:t xml:space="preserve">Figure </w:t>
      </w:r>
      <w:r>
        <w:rPr>
          <w:rFonts w:ascii="Arial" w:hAnsi="Arial" w:cs="Arial"/>
          <w:b/>
          <w:sz w:val="22"/>
          <w:szCs w:val="22"/>
        </w:rPr>
        <w:t>2</w:t>
      </w:r>
      <w:r w:rsidRPr="00BC1FFA">
        <w:rPr>
          <w:rFonts w:ascii="Arial" w:hAnsi="Arial" w:cs="Arial"/>
          <w:b/>
          <w:sz w:val="22"/>
          <w:szCs w:val="22"/>
        </w:rPr>
        <w:t xml:space="preserve">. </w:t>
      </w:r>
      <w:r w:rsidR="00BD3BD0">
        <w:rPr>
          <w:rFonts w:ascii="Arial" w:hAnsi="Arial" w:cs="Arial"/>
          <w:sz w:val="22"/>
          <w:szCs w:val="22"/>
        </w:rPr>
        <w:t>Circular genome maps including conserved genomic features found in a) TTEqV1 (</w:t>
      </w:r>
      <w:r w:rsidR="006F0C85" w:rsidRPr="006F0C85">
        <w:rPr>
          <w:rFonts w:ascii="Arial" w:hAnsi="Arial" w:cs="Arial"/>
          <w:sz w:val="22"/>
          <w:szCs w:val="22"/>
        </w:rPr>
        <w:t>KR902501.1</w:t>
      </w:r>
      <w:r w:rsidR="00BD3BD0">
        <w:rPr>
          <w:rFonts w:ascii="Arial" w:hAnsi="Arial" w:cs="Arial"/>
          <w:sz w:val="22"/>
          <w:szCs w:val="22"/>
        </w:rPr>
        <w:t xml:space="preserve">) and b) TTEqV2 (accession). The suspected missing region within the UTR of TTEqV1 is highlighted in black. </w:t>
      </w:r>
      <w:r w:rsidR="00BD3BD0" w:rsidRPr="00BD3BD0">
        <w:rPr>
          <w:rFonts w:ascii="Arial" w:hAnsi="Arial" w:cs="Arial"/>
          <w:sz w:val="22"/>
          <w:szCs w:val="22"/>
        </w:rPr>
        <w:t>ORFs were visualized using SnapGene Viewer v5.0.7 (snapgene.com).</w:t>
      </w:r>
      <w:r w:rsidR="00A11BB6">
        <w:rPr>
          <w:rFonts w:ascii="Arial" w:hAnsi="Arial" w:cs="Arial"/>
          <w:sz w:val="22"/>
          <w:szCs w:val="22"/>
        </w:rPr>
        <w:t xml:space="preserve"> c) Alignment of TTEqV sequences in the region </w:t>
      </w:r>
      <w:r w:rsidR="00BA12AD">
        <w:rPr>
          <w:rFonts w:ascii="Arial" w:hAnsi="Arial" w:cs="Arial"/>
          <w:sz w:val="22"/>
          <w:szCs w:val="22"/>
        </w:rPr>
        <w:t>surrounding</w:t>
      </w:r>
      <w:r w:rsidR="00A11BB6">
        <w:rPr>
          <w:rFonts w:ascii="Arial" w:hAnsi="Arial" w:cs="Arial"/>
          <w:sz w:val="22"/>
          <w:szCs w:val="22"/>
        </w:rPr>
        <w:t xml:space="preserve"> the two 15 nucleotide conserved sequences. The conserved sequence present in both sequences</w:t>
      </w:r>
      <w:r w:rsidR="00BA12AD">
        <w:rPr>
          <w:rFonts w:ascii="Arial" w:hAnsi="Arial" w:cs="Arial"/>
          <w:sz w:val="22"/>
          <w:szCs w:val="22"/>
        </w:rPr>
        <w:t xml:space="preserve"> (Conserved 2/Cap Site in above genome maps)</w:t>
      </w:r>
      <w:r w:rsidR="00A11BB6">
        <w:rPr>
          <w:rFonts w:ascii="Arial" w:hAnsi="Arial" w:cs="Arial"/>
          <w:sz w:val="22"/>
          <w:szCs w:val="22"/>
        </w:rPr>
        <w:t xml:space="preserve"> is highlighted in yellow, while the one missing from TTEqV1</w:t>
      </w:r>
      <w:r w:rsidR="00BA12AD">
        <w:rPr>
          <w:rFonts w:ascii="Arial" w:hAnsi="Arial" w:cs="Arial"/>
          <w:sz w:val="22"/>
          <w:szCs w:val="22"/>
        </w:rPr>
        <w:t xml:space="preserve"> (Conserved 1</w:t>
      </w:r>
      <w:r w:rsidR="00BA12AD" w:rsidRPr="00BA12AD">
        <w:rPr>
          <w:rFonts w:ascii="Arial" w:hAnsi="Arial" w:cs="Arial"/>
          <w:sz w:val="22"/>
          <w:szCs w:val="22"/>
        </w:rPr>
        <w:t xml:space="preserve"> </w:t>
      </w:r>
      <w:r w:rsidR="00BA12AD">
        <w:rPr>
          <w:rFonts w:ascii="Arial" w:hAnsi="Arial" w:cs="Arial"/>
          <w:sz w:val="22"/>
          <w:szCs w:val="22"/>
        </w:rPr>
        <w:t>in above genome maps)</w:t>
      </w:r>
      <w:r w:rsidR="00A11BB6">
        <w:rPr>
          <w:rFonts w:ascii="Arial" w:hAnsi="Arial" w:cs="Arial"/>
          <w:sz w:val="22"/>
          <w:szCs w:val="22"/>
        </w:rPr>
        <w:t xml:space="preserve"> is highlighted in blue. </w:t>
      </w:r>
      <w:r w:rsidR="00A11BB6" w:rsidRPr="00BC1FFA">
        <w:rPr>
          <w:rFonts w:ascii="Arial" w:hAnsi="Arial" w:cs="Arial"/>
          <w:sz w:val="22"/>
          <w:szCs w:val="22"/>
        </w:rPr>
        <w:t>Sequences were aligned using MAFFT [3]</w:t>
      </w:r>
      <w:r w:rsidR="00A11BB6">
        <w:rPr>
          <w:rFonts w:ascii="Arial" w:hAnsi="Arial" w:cs="Arial"/>
          <w:sz w:val="22"/>
          <w:szCs w:val="22"/>
        </w:rPr>
        <w:t>.</w:t>
      </w:r>
    </w:p>
    <w:p w14:paraId="389E2AC5" w14:textId="503EE2B8" w:rsidR="000F03FE" w:rsidRDefault="000F03FE">
      <w:pPr>
        <w:spacing w:before="120" w:after="120"/>
        <w:rPr>
          <w:rFonts w:ascii="Arial" w:hAnsi="Arial" w:cs="Arial"/>
          <w:b/>
        </w:rPr>
      </w:pPr>
    </w:p>
    <w:p w14:paraId="725046B0" w14:textId="1E6B12B1" w:rsidR="00BD3BD0" w:rsidRDefault="00BD3BD0">
      <w:pPr>
        <w:spacing w:before="120" w:after="120"/>
        <w:rPr>
          <w:rFonts w:ascii="Arial" w:hAnsi="Arial" w:cs="Arial"/>
          <w:b/>
        </w:rPr>
      </w:pPr>
    </w:p>
    <w:p w14:paraId="0CB8C4FB" w14:textId="276978E6" w:rsidR="00A11BB6" w:rsidRDefault="00A11BB6">
      <w:pPr>
        <w:spacing w:before="120" w:after="120"/>
        <w:rPr>
          <w:rFonts w:ascii="Arial" w:hAnsi="Arial" w:cs="Arial"/>
          <w:b/>
        </w:rPr>
      </w:pPr>
    </w:p>
    <w:p w14:paraId="144FCD60" w14:textId="548689BB" w:rsidR="00A11BB6" w:rsidRDefault="00A11BB6">
      <w:pPr>
        <w:spacing w:before="120" w:after="120"/>
        <w:rPr>
          <w:rFonts w:ascii="Arial" w:hAnsi="Arial" w:cs="Arial"/>
          <w:b/>
        </w:rPr>
      </w:pPr>
    </w:p>
    <w:p w14:paraId="485EAB11" w14:textId="72D586BC" w:rsidR="00A11BB6" w:rsidRDefault="00A11BB6">
      <w:pPr>
        <w:spacing w:before="120" w:after="120"/>
        <w:rPr>
          <w:rFonts w:ascii="Arial" w:hAnsi="Arial" w:cs="Arial"/>
          <w:b/>
        </w:rPr>
      </w:pPr>
    </w:p>
    <w:p w14:paraId="09014E43" w14:textId="77777777" w:rsidR="00643C43" w:rsidRDefault="00643C43">
      <w:pPr>
        <w:spacing w:before="120" w:after="120"/>
        <w:rPr>
          <w:rFonts w:ascii="Arial" w:hAnsi="Arial" w:cs="Arial"/>
          <w:b/>
        </w:rPr>
      </w:pPr>
    </w:p>
    <w:p w14:paraId="0C63F2C0" w14:textId="77777777" w:rsidR="00643C43" w:rsidRDefault="00643C43">
      <w:pPr>
        <w:spacing w:before="120" w:after="120"/>
        <w:rPr>
          <w:rFonts w:ascii="Arial" w:hAnsi="Arial" w:cs="Arial"/>
          <w:b/>
        </w:rPr>
      </w:pPr>
    </w:p>
    <w:p w14:paraId="3437A237" w14:textId="12240F19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3EB7253B" w14:textId="46837EAA" w:rsidR="002F3996" w:rsidRDefault="00491C57" w:rsidP="00491C57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491C57">
        <w:rPr>
          <w:rFonts w:ascii="Arial" w:hAnsi="Arial" w:cs="Arial"/>
          <w:sz w:val="22"/>
          <w:szCs w:val="22"/>
        </w:rPr>
        <w:t>Biagini P (2009) Classification of TTV and related viruses (anelloviruses). In: de Villiers E-M, zur Hausen H (eds) TT Viruses - The Still Elusive Human Pathogens. Springer-Verlag Berlin Heidelberg, pp 21-33.</w:t>
      </w:r>
      <w:r>
        <w:rPr>
          <w:rFonts w:ascii="Arial" w:hAnsi="Arial" w:cs="Arial"/>
          <w:sz w:val="22"/>
          <w:szCs w:val="22"/>
        </w:rPr>
        <w:t xml:space="preserve"> </w:t>
      </w:r>
      <w:hyperlink r:id="rId16" w:history="1">
        <w:r w:rsidRPr="00563BCB">
          <w:rPr>
            <w:rStyle w:val="Hyperlink"/>
            <w:rFonts w:ascii="Arial" w:hAnsi="Arial" w:cs="Arial"/>
            <w:sz w:val="22"/>
            <w:szCs w:val="22"/>
          </w:rPr>
          <w:t>https://doi.org/10.1007/978-3-540-70972-5_2</w:t>
        </w:r>
      </w:hyperlink>
      <w:r>
        <w:rPr>
          <w:rFonts w:ascii="Arial" w:hAnsi="Arial" w:cs="Arial"/>
          <w:sz w:val="22"/>
          <w:szCs w:val="22"/>
        </w:rPr>
        <w:t xml:space="preserve"> </w:t>
      </w:r>
    </w:p>
    <w:p w14:paraId="07867009" w14:textId="77777777" w:rsidR="009067A5" w:rsidRDefault="009067A5" w:rsidP="009067A5">
      <w:pPr>
        <w:pStyle w:val="ListParagraph"/>
        <w:rPr>
          <w:rFonts w:ascii="Arial" w:hAnsi="Arial" w:cs="Arial"/>
          <w:sz w:val="22"/>
          <w:szCs w:val="22"/>
        </w:rPr>
      </w:pPr>
    </w:p>
    <w:p w14:paraId="1C65E327" w14:textId="60443268" w:rsidR="00390F36" w:rsidRPr="00390F36" w:rsidRDefault="009067A5" w:rsidP="00390F36">
      <w:pPr>
        <w:pStyle w:val="ListParagraph"/>
        <w:numPr>
          <w:ilvl w:val="0"/>
          <w:numId w:val="3"/>
        </w:numPr>
        <w:rPr>
          <w:rFonts w:ascii="Arial" w:hAnsi="Arial" w:cs="Arial"/>
          <w:b/>
          <w:sz w:val="22"/>
          <w:szCs w:val="22"/>
        </w:rPr>
      </w:pPr>
      <w:r w:rsidRPr="009067A5">
        <w:rPr>
          <w:rFonts w:ascii="Arial" w:hAnsi="Arial" w:cs="Arial"/>
          <w:sz w:val="22"/>
          <w:szCs w:val="22"/>
        </w:rPr>
        <w:t>Biagini P, Bendinelli M, Hino S, Kakkola L, Mankertz A, Niel C, Okamoto H, Raidal S, Teo CG, Todd D (2012) Family Anelloviridae. In: King AMQ, Adams EB, Carstens EB, E.J. L (eds) Virus taxonomy : Ninth report of the International Committee on Taxonomy of Viruses. Academic press, London ; Waltham, MA, pp 331-341</w:t>
      </w:r>
    </w:p>
    <w:p w14:paraId="6A766E46" w14:textId="77777777" w:rsidR="00390F36" w:rsidRPr="00390F36" w:rsidRDefault="00390F36" w:rsidP="00390F36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334EA0AA" w14:textId="38E97AC0" w:rsidR="00390F36" w:rsidRPr="00390F36" w:rsidRDefault="00390F36" w:rsidP="00390F36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390F36">
        <w:rPr>
          <w:rFonts w:ascii="Arial" w:hAnsi="Arial" w:cs="Arial"/>
          <w:sz w:val="22"/>
          <w:szCs w:val="22"/>
        </w:rPr>
        <w:t xml:space="preserve">Kamada K, Kamahora T, Kabat P, Hino S (2004) Transcriptional regulation of TT virus: promoter and enhancer regions in the 1.2-kb noncoding region. </w:t>
      </w:r>
      <w:r w:rsidRPr="00B95DD6">
        <w:rPr>
          <w:rFonts w:ascii="Arial" w:hAnsi="Arial" w:cs="Arial"/>
          <w:sz w:val="22"/>
          <w:szCs w:val="22"/>
        </w:rPr>
        <w:t>Virology</w:t>
      </w:r>
      <w:r w:rsidRPr="00390F36">
        <w:rPr>
          <w:rFonts w:ascii="Arial" w:hAnsi="Arial" w:cs="Arial"/>
          <w:sz w:val="22"/>
          <w:szCs w:val="22"/>
        </w:rPr>
        <w:t xml:space="preserve"> 321:341–348. </w:t>
      </w:r>
      <w:hyperlink r:id="rId17" w:history="1">
        <w:r w:rsidRPr="00390F36">
          <w:rPr>
            <w:rStyle w:val="Hyperlink"/>
            <w:rFonts w:ascii="Arial" w:hAnsi="Arial" w:cs="Arial"/>
            <w:sz w:val="22"/>
            <w:szCs w:val="22"/>
          </w:rPr>
          <w:t>https://doi.org/10.1016/j.virol.2003.12.024</w:t>
        </w:r>
      </w:hyperlink>
      <w:r w:rsidRPr="00390F36">
        <w:rPr>
          <w:rFonts w:ascii="Arial" w:hAnsi="Arial" w:cs="Arial"/>
          <w:sz w:val="22"/>
          <w:szCs w:val="22"/>
        </w:rPr>
        <w:t xml:space="preserve"> </w:t>
      </w:r>
    </w:p>
    <w:p w14:paraId="4B4138D5" w14:textId="77777777" w:rsidR="00390F36" w:rsidRPr="00390F36" w:rsidRDefault="00390F36" w:rsidP="00390F36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37C63DE5" w14:textId="4753E7F8" w:rsidR="00390F36" w:rsidRPr="00390F36" w:rsidRDefault="00390F36" w:rsidP="00390F36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390F36">
        <w:rPr>
          <w:rFonts w:ascii="Arial" w:hAnsi="Arial" w:cs="Arial"/>
          <w:sz w:val="22"/>
          <w:szCs w:val="22"/>
        </w:rPr>
        <w:t xml:space="preserve">Eibach D, Hogan B, Sarpong N, et al (2019) Viral metagenomics revealed novel betatorquevirus species in pediatric inpatients with encephalitis/meningoencephalitis from Ghana. </w:t>
      </w:r>
      <w:r w:rsidRPr="00B95DD6">
        <w:rPr>
          <w:rFonts w:ascii="Arial" w:hAnsi="Arial" w:cs="Arial"/>
          <w:sz w:val="22"/>
          <w:szCs w:val="22"/>
        </w:rPr>
        <w:t>Sci Rep</w:t>
      </w:r>
      <w:r w:rsidRPr="00390F36">
        <w:rPr>
          <w:rFonts w:ascii="Arial" w:hAnsi="Arial" w:cs="Arial"/>
          <w:sz w:val="22"/>
          <w:szCs w:val="22"/>
        </w:rPr>
        <w:t xml:space="preserve"> 9:1–10. </w:t>
      </w:r>
      <w:hyperlink r:id="rId18" w:history="1">
        <w:r w:rsidR="00B95DD6" w:rsidRPr="00D66BA4">
          <w:rPr>
            <w:rStyle w:val="Hyperlink"/>
            <w:rFonts w:ascii="Arial" w:hAnsi="Arial" w:cs="Arial"/>
            <w:sz w:val="22"/>
            <w:szCs w:val="22"/>
          </w:rPr>
          <w:t>https://doi.org/10.1038/s41598-019-38975-z</w:t>
        </w:r>
      </w:hyperlink>
      <w:r w:rsidR="00B95DD6">
        <w:rPr>
          <w:rFonts w:ascii="Arial" w:hAnsi="Arial" w:cs="Arial"/>
          <w:sz w:val="22"/>
          <w:szCs w:val="22"/>
        </w:rPr>
        <w:t xml:space="preserve"> </w:t>
      </w:r>
    </w:p>
    <w:p w14:paraId="2522FFCB" w14:textId="77777777" w:rsidR="00390F36" w:rsidRPr="00390F36" w:rsidRDefault="00390F36" w:rsidP="00390F36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041B4497" w14:textId="50722424" w:rsidR="00390F36" w:rsidRPr="00B95DD6" w:rsidRDefault="00B95DD6" w:rsidP="00B95DD6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B95DD6">
        <w:rPr>
          <w:rFonts w:ascii="Arial" w:hAnsi="Arial" w:cs="Arial"/>
          <w:sz w:val="22"/>
          <w:szCs w:val="22"/>
        </w:rPr>
        <w:t xml:space="preserve">Okamoto H, Nishizawa T, Tawara A, et al (2000) Species-Specific TT Viruses in Humans and Nonhuman Primates and Their Phylogenetic Relatedness. Virology 277:368–378. </w:t>
      </w:r>
      <w:hyperlink r:id="rId19" w:history="1">
        <w:r w:rsidRPr="00B95DD6">
          <w:rPr>
            <w:rStyle w:val="Hyperlink"/>
            <w:rFonts w:ascii="Arial" w:hAnsi="Arial" w:cs="Arial"/>
            <w:sz w:val="22"/>
            <w:szCs w:val="22"/>
          </w:rPr>
          <w:t>https://doi.org/10.1006/viro.2000.0588</w:t>
        </w:r>
      </w:hyperlink>
      <w:r w:rsidRPr="00B95DD6">
        <w:rPr>
          <w:rFonts w:ascii="Arial" w:hAnsi="Arial" w:cs="Arial"/>
          <w:sz w:val="22"/>
          <w:szCs w:val="22"/>
        </w:rPr>
        <w:t xml:space="preserve"> </w:t>
      </w:r>
    </w:p>
    <w:p w14:paraId="1BF839E0" w14:textId="77777777" w:rsidR="00390F36" w:rsidRPr="00390F36" w:rsidRDefault="00390F36" w:rsidP="00390F36">
      <w:pPr>
        <w:pStyle w:val="ListParagraph"/>
        <w:rPr>
          <w:rFonts w:ascii="Arial" w:hAnsi="Arial" w:cs="Arial"/>
          <w:b/>
          <w:sz w:val="22"/>
          <w:szCs w:val="22"/>
        </w:rPr>
      </w:pPr>
    </w:p>
    <w:p w14:paraId="33641F05" w14:textId="7BB645E3" w:rsidR="00B95DD6" w:rsidRPr="00B95DD6" w:rsidRDefault="00B95DD6" w:rsidP="00B95DD6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B95DD6">
        <w:rPr>
          <w:rFonts w:ascii="Arial" w:hAnsi="Arial" w:cs="Arial"/>
          <w:sz w:val="22"/>
          <w:szCs w:val="22"/>
        </w:rPr>
        <w:t xml:space="preserve">Okamoto H, Takahashi M, Nishizawa T, et al (2002) Genomic characterization of TT viruses (TTVs) in pigs, cats and dogs and their relatedness with species-specific TTVs in primates and tupaias. J Gen Virol 83:1291–1297. </w:t>
      </w:r>
      <w:hyperlink r:id="rId20" w:history="1">
        <w:r w:rsidRPr="00B95DD6">
          <w:rPr>
            <w:rStyle w:val="Hyperlink"/>
            <w:rFonts w:ascii="Arial" w:hAnsi="Arial" w:cs="Arial"/>
            <w:sz w:val="22"/>
            <w:szCs w:val="22"/>
          </w:rPr>
          <w:t>https://doi.org/10.1099/0022-1317-83-6-1291</w:t>
        </w:r>
      </w:hyperlink>
      <w:r w:rsidRPr="00B95DD6">
        <w:rPr>
          <w:rFonts w:ascii="Arial" w:hAnsi="Arial" w:cs="Arial"/>
          <w:sz w:val="22"/>
          <w:szCs w:val="22"/>
        </w:rPr>
        <w:br/>
      </w:r>
    </w:p>
    <w:p w14:paraId="5829425F" w14:textId="04A54AAE" w:rsidR="00390F36" w:rsidRPr="00B95DD6" w:rsidRDefault="00B95DD6" w:rsidP="00B95DD6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B95DD6">
        <w:rPr>
          <w:rFonts w:ascii="Arial" w:hAnsi="Arial" w:cs="Arial"/>
          <w:sz w:val="22"/>
          <w:szCs w:val="22"/>
        </w:rPr>
        <w:t xml:space="preserve">Hu Y-W, Al-Moslih MI, Ali MTA, et al (2005) Molecular Detection Method for All Known Genotypes of TT Virus (TTV) and TTV-Like Viruses in Thalassemia Patients and Healthy Individuals. </w:t>
      </w:r>
      <w:r>
        <w:rPr>
          <w:rFonts w:ascii="Arial" w:hAnsi="Arial" w:cs="Arial"/>
          <w:sz w:val="22"/>
          <w:szCs w:val="22"/>
        </w:rPr>
        <w:t>J Clin</w:t>
      </w:r>
      <w:r w:rsidRPr="00B95DD6">
        <w:rPr>
          <w:rFonts w:ascii="Arial" w:hAnsi="Arial" w:cs="Arial"/>
          <w:sz w:val="22"/>
          <w:szCs w:val="22"/>
        </w:rPr>
        <w:t xml:space="preserve"> Microbiol 43:3747–3754. </w:t>
      </w:r>
      <w:hyperlink r:id="rId21" w:history="1">
        <w:r w:rsidRPr="00B95DD6">
          <w:rPr>
            <w:rStyle w:val="Hyperlink"/>
            <w:rFonts w:ascii="Arial" w:hAnsi="Arial" w:cs="Arial"/>
            <w:sz w:val="22"/>
            <w:szCs w:val="22"/>
          </w:rPr>
          <w:t>https://doi.org/10.1128/JCM.43.8.3747-3754.2005</w:t>
        </w:r>
      </w:hyperlink>
      <w:r w:rsidRPr="00B95DD6">
        <w:rPr>
          <w:rFonts w:ascii="Arial" w:hAnsi="Arial" w:cs="Arial"/>
          <w:sz w:val="22"/>
          <w:szCs w:val="22"/>
        </w:rPr>
        <w:t xml:space="preserve"> </w:t>
      </w:r>
    </w:p>
    <w:p w14:paraId="0109CB75" w14:textId="77777777" w:rsidR="002F3996" w:rsidRPr="00BC1FFA" w:rsidRDefault="002F3996" w:rsidP="002F3996">
      <w:pPr>
        <w:pStyle w:val="ListParagraph"/>
        <w:rPr>
          <w:rFonts w:ascii="Arial" w:hAnsi="Arial" w:cs="Arial"/>
          <w:sz w:val="22"/>
          <w:szCs w:val="22"/>
        </w:rPr>
      </w:pPr>
    </w:p>
    <w:p w14:paraId="6FCEEB2B" w14:textId="77777777" w:rsidR="002F3996" w:rsidRPr="00BC1FFA" w:rsidRDefault="002F3996" w:rsidP="002F3996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BC1FFA">
        <w:rPr>
          <w:rFonts w:ascii="Arial" w:hAnsi="Arial" w:cs="Arial"/>
          <w:sz w:val="22"/>
          <w:szCs w:val="22"/>
        </w:rPr>
        <w:t xml:space="preserve">Katoh K, Standley DM (2013) MAFFT multiple sequence alignment software version 7: improvements in performance and usability. Mol Biol Evol 30:772–780. </w:t>
      </w:r>
      <w:hyperlink r:id="rId22" w:history="1">
        <w:r w:rsidRPr="00BC1FFA">
          <w:rPr>
            <w:rStyle w:val="Hyperlink"/>
            <w:rFonts w:ascii="Arial" w:hAnsi="Arial" w:cs="Arial"/>
            <w:sz w:val="22"/>
            <w:szCs w:val="22"/>
          </w:rPr>
          <w:t>https://doi.org/10.1093/molbev/mst010</w:t>
        </w:r>
      </w:hyperlink>
      <w:r w:rsidRPr="00BC1FFA">
        <w:rPr>
          <w:rStyle w:val="Hyperlink"/>
          <w:rFonts w:ascii="Arial" w:hAnsi="Arial" w:cs="Arial"/>
          <w:sz w:val="22"/>
          <w:szCs w:val="22"/>
        </w:rPr>
        <w:t xml:space="preserve"> PMID: 23329690</w:t>
      </w:r>
    </w:p>
    <w:p w14:paraId="7020BC24" w14:textId="77777777" w:rsidR="002F3996" w:rsidRPr="00BC1FFA" w:rsidRDefault="002F3996" w:rsidP="002F3996">
      <w:pPr>
        <w:rPr>
          <w:rFonts w:ascii="Arial" w:hAnsi="Arial" w:cs="Arial"/>
          <w:b/>
          <w:sz w:val="22"/>
          <w:szCs w:val="22"/>
        </w:rPr>
      </w:pPr>
    </w:p>
    <w:p w14:paraId="32DEAFA2" w14:textId="566B09D8" w:rsidR="002F3996" w:rsidRPr="009067A5" w:rsidRDefault="002F3996" w:rsidP="002F3996">
      <w:pPr>
        <w:pStyle w:val="ListParagraph"/>
        <w:numPr>
          <w:ilvl w:val="0"/>
          <w:numId w:val="3"/>
        </w:numPr>
        <w:rPr>
          <w:rStyle w:val="Hyperlink"/>
          <w:rFonts w:ascii="Arial" w:hAnsi="Arial" w:cs="Arial"/>
          <w:color w:val="auto"/>
          <w:sz w:val="22"/>
          <w:szCs w:val="22"/>
          <w:u w:val="none"/>
        </w:rPr>
      </w:pPr>
      <w:r w:rsidRPr="00BC1FFA">
        <w:rPr>
          <w:rFonts w:ascii="Arial" w:hAnsi="Arial" w:cs="Arial"/>
          <w:sz w:val="22"/>
          <w:szCs w:val="22"/>
        </w:rPr>
        <w:t xml:space="preserve">Trifinopoulos J, Nguyen L-T, von Haeseler A, Minh BQ (2016) W-IQ-TREE: a fast online phylogenetic tool for maximum likelihood analysis. Nucleic Acids Res 44:W232–W235. </w:t>
      </w:r>
      <w:hyperlink r:id="rId23" w:history="1">
        <w:r w:rsidRPr="00BC1FFA">
          <w:rPr>
            <w:rStyle w:val="Hyperlink"/>
            <w:rFonts w:ascii="Arial" w:hAnsi="Arial" w:cs="Arial"/>
            <w:sz w:val="22"/>
            <w:szCs w:val="22"/>
          </w:rPr>
          <w:t>https://doi.org/10.1093/nar/gkw256</w:t>
        </w:r>
      </w:hyperlink>
      <w:r w:rsidRPr="00BC1FFA">
        <w:rPr>
          <w:rStyle w:val="Hyperlink"/>
          <w:rFonts w:ascii="Arial" w:hAnsi="Arial" w:cs="Arial"/>
          <w:sz w:val="22"/>
          <w:szCs w:val="22"/>
        </w:rPr>
        <w:t xml:space="preserve"> PMID: 27084950</w:t>
      </w:r>
    </w:p>
    <w:p w14:paraId="63657D88" w14:textId="3741C9D4" w:rsidR="009067A5" w:rsidRPr="009067A5" w:rsidRDefault="009067A5" w:rsidP="009067A5">
      <w:pPr>
        <w:rPr>
          <w:rFonts w:ascii="Arial" w:hAnsi="Arial" w:cs="Arial"/>
          <w:sz w:val="22"/>
          <w:szCs w:val="22"/>
        </w:rPr>
      </w:pPr>
    </w:p>
    <w:p w14:paraId="305FFB34" w14:textId="77777777" w:rsidR="009067A5" w:rsidRPr="00BC1FFA" w:rsidRDefault="009067A5" w:rsidP="009067A5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BC1FFA">
        <w:rPr>
          <w:rFonts w:ascii="Arial" w:hAnsi="Arial" w:cs="Arial"/>
          <w:sz w:val="22"/>
          <w:szCs w:val="22"/>
        </w:rPr>
        <w:t xml:space="preserve">Kalyaanamoorthy S, Minh BQ, Wong TKF, et al (2017) ModelFinder: fast model selection for accurate phylogenetic estimates. Nat Methods 14:587–589. </w:t>
      </w:r>
      <w:hyperlink r:id="rId24" w:history="1">
        <w:r w:rsidRPr="00BC1FFA">
          <w:rPr>
            <w:rStyle w:val="Hyperlink"/>
            <w:rFonts w:ascii="Arial" w:hAnsi="Arial" w:cs="Arial"/>
            <w:sz w:val="22"/>
            <w:szCs w:val="22"/>
          </w:rPr>
          <w:t>https://doi.org/10.1038/nmeth.4285</w:t>
        </w:r>
      </w:hyperlink>
      <w:r w:rsidRPr="00BC1FFA">
        <w:rPr>
          <w:rStyle w:val="Hyperlink"/>
          <w:rFonts w:ascii="Arial" w:hAnsi="Arial" w:cs="Arial"/>
          <w:sz w:val="22"/>
          <w:szCs w:val="22"/>
        </w:rPr>
        <w:t xml:space="preserve"> PMID: 28481363</w:t>
      </w:r>
    </w:p>
    <w:p w14:paraId="6D34CDF5" w14:textId="77777777" w:rsidR="009067A5" w:rsidRPr="00BC1FFA" w:rsidRDefault="009067A5" w:rsidP="009067A5">
      <w:pPr>
        <w:rPr>
          <w:rFonts w:ascii="Arial" w:hAnsi="Arial" w:cs="Arial"/>
          <w:sz w:val="22"/>
          <w:szCs w:val="22"/>
        </w:rPr>
      </w:pPr>
    </w:p>
    <w:p w14:paraId="1DCE2891" w14:textId="77777777" w:rsidR="009067A5" w:rsidRPr="00BC1FFA" w:rsidRDefault="009067A5" w:rsidP="009067A5">
      <w:pPr>
        <w:pStyle w:val="ListParagraph"/>
        <w:numPr>
          <w:ilvl w:val="0"/>
          <w:numId w:val="3"/>
        </w:numPr>
        <w:rPr>
          <w:rFonts w:ascii="Arial" w:hAnsi="Arial" w:cs="Arial"/>
          <w:sz w:val="22"/>
          <w:szCs w:val="22"/>
        </w:rPr>
      </w:pPr>
      <w:r w:rsidRPr="00BC1FFA">
        <w:rPr>
          <w:rFonts w:ascii="Arial" w:hAnsi="Arial" w:cs="Arial"/>
          <w:sz w:val="22"/>
          <w:szCs w:val="22"/>
        </w:rPr>
        <w:t xml:space="preserve">Hoang DT, Chernomor O, von Haeseler A, et al (2018) UFBoot2: improving the ultrafast bootstrap approximation. Mol Biol Evol 35:518–522. </w:t>
      </w:r>
      <w:hyperlink r:id="rId25" w:history="1">
        <w:r w:rsidRPr="00BC1FFA">
          <w:rPr>
            <w:rStyle w:val="Hyperlink"/>
            <w:rFonts w:ascii="Arial" w:hAnsi="Arial" w:cs="Arial"/>
            <w:sz w:val="22"/>
            <w:szCs w:val="22"/>
          </w:rPr>
          <w:t>https://doi.org/10.1093/molbev/msx281</w:t>
        </w:r>
      </w:hyperlink>
      <w:r w:rsidRPr="00BC1FFA">
        <w:rPr>
          <w:rStyle w:val="Hyperlink"/>
          <w:rFonts w:ascii="Arial" w:hAnsi="Arial" w:cs="Arial"/>
          <w:sz w:val="22"/>
          <w:szCs w:val="22"/>
        </w:rPr>
        <w:t xml:space="preserve"> PMID: 29077904</w:t>
      </w:r>
    </w:p>
    <w:p w14:paraId="08F70032" w14:textId="77777777" w:rsidR="009067A5" w:rsidRPr="00BC1FFA" w:rsidRDefault="009067A5" w:rsidP="009067A5">
      <w:pPr>
        <w:pStyle w:val="ListParagraph"/>
        <w:rPr>
          <w:rFonts w:ascii="Arial" w:hAnsi="Arial" w:cs="Arial"/>
          <w:sz w:val="22"/>
          <w:szCs w:val="22"/>
        </w:rPr>
      </w:pPr>
    </w:p>
    <w:p w14:paraId="7E41D5E1" w14:textId="0F9DC660" w:rsidR="002F3996" w:rsidRDefault="009067A5" w:rsidP="006F618E">
      <w:pPr>
        <w:pStyle w:val="ListParagraph"/>
        <w:numPr>
          <w:ilvl w:val="0"/>
          <w:numId w:val="3"/>
        </w:numPr>
      </w:pPr>
      <w:r w:rsidRPr="00B95DD6">
        <w:rPr>
          <w:rFonts w:ascii="Arial" w:hAnsi="Arial" w:cs="Arial"/>
          <w:sz w:val="22"/>
          <w:szCs w:val="22"/>
        </w:rPr>
        <w:t xml:space="preserve">Letunic I, Bork P (2019) Interactive Tree Of Life (iTOL) v4: recent updates and new developments. Nucleic Acids Res 47:W256. </w:t>
      </w:r>
      <w:hyperlink r:id="rId26" w:history="1">
        <w:r w:rsidRPr="00B95DD6">
          <w:rPr>
            <w:rStyle w:val="Hyperlink"/>
            <w:rFonts w:ascii="Arial" w:hAnsi="Arial" w:cs="Arial"/>
            <w:sz w:val="22"/>
            <w:szCs w:val="22"/>
          </w:rPr>
          <w:t>https://doi.org/10.1093/nar/gkz239</w:t>
        </w:r>
      </w:hyperlink>
      <w:r w:rsidRPr="00B95DD6">
        <w:rPr>
          <w:rFonts w:ascii="Arial" w:hAnsi="Arial" w:cs="Arial"/>
          <w:sz w:val="22"/>
          <w:szCs w:val="22"/>
        </w:rPr>
        <w:t xml:space="preserve"> PMID: 30931475</w:t>
      </w:r>
    </w:p>
    <w:sectPr w:rsidR="002F3996">
      <w:headerReference w:type="default" r:id="rId27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6F3DD3" w14:textId="77777777" w:rsidR="008F5169" w:rsidRDefault="008F5169">
      <w:r>
        <w:separator/>
      </w:r>
    </w:p>
  </w:endnote>
  <w:endnote w:type="continuationSeparator" w:id="0">
    <w:p w14:paraId="0388C6B1" w14:textId="77777777" w:rsidR="008F5169" w:rsidRDefault="008F51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B77AAF" w14:textId="77777777" w:rsidR="008F5169" w:rsidRDefault="008F5169">
      <w:r>
        <w:separator/>
      </w:r>
    </w:p>
  </w:footnote>
  <w:footnote w:type="continuationSeparator" w:id="0">
    <w:p w14:paraId="444F4201" w14:textId="77777777" w:rsidR="008F5169" w:rsidRDefault="008F51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77777777" w:rsidR="00A174CC" w:rsidRDefault="008815EE">
    <w:pPr>
      <w:pStyle w:val="Header"/>
      <w:jc w:val="right"/>
    </w:pPr>
    <w:r>
      <w:t>October 2020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D16C00"/>
    <w:multiLevelType w:val="hybridMultilevel"/>
    <w:tmpl w:val="F53CAE2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74CC"/>
    <w:rsid w:val="00083BB4"/>
    <w:rsid w:val="000B468A"/>
    <w:rsid w:val="000F03FE"/>
    <w:rsid w:val="000F3924"/>
    <w:rsid w:val="00153FF0"/>
    <w:rsid w:val="001A1445"/>
    <w:rsid w:val="00204FC4"/>
    <w:rsid w:val="002218F7"/>
    <w:rsid w:val="0024792E"/>
    <w:rsid w:val="0026719E"/>
    <w:rsid w:val="002A7CC0"/>
    <w:rsid w:val="002F3996"/>
    <w:rsid w:val="00306D64"/>
    <w:rsid w:val="00310FDF"/>
    <w:rsid w:val="00320AE6"/>
    <w:rsid w:val="00390F36"/>
    <w:rsid w:val="003B403B"/>
    <w:rsid w:val="0043110C"/>
    <w:rsid w:val="00437E9A"/>
    <w:rsid w:val="00491C57"/>
    <w:rsid w:val="005433C7"/>
    <w:rsid w:val="00543F86"/>
    <w:rsid w:val="005A54C3"/>
    <w:rsid w:val="005A6F75"/>
    <w:rsid w:val="00612D8F"/>
    <w:rsid w:val="00643C43"/>
    <w:rsid w:val="0064777A"/>
    <w:rsid w:val="00666D47"/>
    <w:rsid w:val="006F0C85"/>
    <w:rsid w:val="006F28DB"/>
    <w:rsid w:val="007050EC"/>
    <w:rsid w:val="00747776"/>
    <w:rsid w:val="008019EA"/>
    <w:rsid w:val="008815EE"/>
    <w:rsid w:val="008F5169"/>
    <w:rsid w:val="00904177"/>
    <w:rsid w:val="009067A5"/>
    <w:rsid w:val="009A1BE1"/>
    <w:rsid w:val="00A04695"/>
    <w:rsid w:val="00A11BB6"/>
    <w:rsid w:val="00A174CC"/>
    <w:rsid w:val="00AB16A5"/>
    <w:rsid w:val="00B171E6"/>
    <w:rsid w:val="00B70502"/>
    <w:rsid w:val="00B85677"/>
    <w:rsid w:val="00B95DD6"/>
    <w:rsid w:val="00BA12AD"/>
    <w:rsid w:val="00BA3B7E"/>
    <w:rsid w:val="00BD3BD0"/>
    <w:rsid w:val="00BE1775"/>
    <w:rsid w:val="00BE2D6A"/>
    <w:rsid w:val="00C853F1"/>
    <w:rsid w:val="00CB5F35"/>
    <w:rsid w:val="00D05CB6"/>
    <w:rsid w:val="00D76DF3"/>
    <w:rsid w:val="00DD5B33"/>
    <w:rsid w:val="00DE7800"/>
    <w:rsid w:val="00DF7BB7"/>
    <w:rsid w:val="00E42A03"/>
    <w:rsid w:val="00E912EC"/>
    <w:rsid w:val="00EE0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rsid w:val="002218F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F3996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491C57"/>
    <w:rPr>
      <w:color w:val="954F72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28D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28DB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Revision">
    <w:name w:val="Revision"/>
    <w:hidden/>
    <w:uiPriority w:val="99"/>
    <w:semiHidden/>
    <w:rsid w:val="00643C43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821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thew.fisher@canada.ca" TargetMode="External"/><Relationship Id="rId13" Type="http://schemas.openxmlformats.org/officeDocument/2006/relationships/hyperlink" Target="mailto:oliver.lung@canada.ca" TargetMode="External"/><Relationship Id="rId18" Type="http://schemas.openxmlformats.org/officeDocument/2006/relationships/hyperlink" Target="https://doi.org/10.1038/s41598-019-38975-z" TargetMode="External"/><Relationship Id="rId26" Type="http://schemas.openxmlformats.org/officeDocument/2006/relationships/hyperlink" Target="https://doi.org/10.1093/nar/gkz239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doi.org/10.1128/JCM.43.8.3747-3754.2005" TargetMode="External"/><Relationship Id="rId7" Type="http://schemas.openxmlformats.org/officeDocument/2006/relationships/image" Target="media/image1.png"/><Relationship Id="rId12" Type="http://schemas.openxmlformats.org/officeDocument/2006/relationships/hyperlink" Target="mailto:jdav@ucalgary.ca" TargetMode="External"/><Relationship Id="rId17" Type="http://schemas.openxmlformats.org/officeDocument/2006/relationships/hyperlink" Target="https://doi.org/10.1016/j.virol.2003.12.024" TargetMode="External"/><Relationship Id="rId25" Type="http://schemas.openxmlformats.org/officeDocument/2006/relationships/hyperlink" Target="https://doi.org/10.1093/molbev/msx281" TargetMode="External"/><Relationship Id="rId2" Type="http://schemas.openxmlformats.org/officeDocument/2006/relationships/styles" Target="styles.xml"/><Relationship Id="rId16" Type="http://schemas.openxmlformats.org/officeDocument/2006/relationships/hyperlink" Target="https://doi.org/10.1007/978-3-540-70972-5_2" TargetMode="External"/><Relationship Id="rId20" Type="http://schemas.openxmlformats.org/officeDocument/2006/relationships/hyperlink" Target="https://doi.org/10.1099/0022-1317-83-6-1291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eter.kruczkiewicz@canada.ca" TargetMode="External"/><Relationship Id="rId24" Type="http://schemas.openxmlformats.org/officeDocument/2006/relationships/hyperlink" Target="https://doi.org/10.1038/nmeth.4285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hyperlink" Target="https://doi.org/10.1093/nar/gkw256" TargetMode="External"/><Relationship Id="rId28" Type="http://schemas.openxmlformats.org/officeDocument/2006/relationships/fontTable" Target="fontTable.xml"/><Relationship Id="rId10" Type="http://schemas.openxmlformats.org/officeDocument/2006/relationships/hyperlink" Target="mailto:michelle.nebroski@canada.ca" TargetMode="External"/><Relationship Id="rId19" Type="http://schemas.openxmlformats.org/officeDocument/2006/relationships/hyperlink" Target="https://doi.org/10.1006/viro.2000.058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homas.harrison@canada.ca" TargetMode="External"/><Relationship Id="rId14" Type="http://schemas.openxmlformats.org/officeDocument/2006/relationships/image" Target="media/image2.jpeg"/><Relationship Id="rId22" Type="http://schemas.openxmlformats.org/officeDocument/2006/relationships/hyperlink" Target="https://doi.org/10.1093/molbev/mst010" TargetMode="External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1363</Words>
  <Characters>7772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14</cp:revision>
  <dcterms:created xsi:type="dcterms:W3CDTF">2021-05-18T22:18:00Z</dcterms:created>
  <dcterms:modified xsi:type="dcterms:W3CDTF">2022-03-13T02:25:00Z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