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de-CH" w:eastAsia="de-CH"/>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0341B48" w:rsidR="00A174CC" w:rsidRPr="006F6E09" w:rsidRDefault="006F6E09">
            <w:pPr>
              <w:pStyle w:val="BodyTextIndent"/>
              <w:ind w:left="0" w:firstLine="0"/>
              <w:jc w:val="center"/>
              <w:rPr>
                <w:rFonts w:ascii="Arial" w:hAnsi="Arial" w:cs="Arial"/>
                <w:b/>
                <w:bCs/>
                <w:iCs/>
                <w:sz w:val="28"/>
                <w:szCs w:val="28"/>
              </w:rPr>
            </w:pPr>
            <w:r w:rsidRPr="006F6E09">
              <w:rPr>
                <w:rFonts w:ascii="Arial" w:hAnsi="Arial" w:cs="Arial"/>
                <w:b/>
                <w:bCs/>
                <w:iCs/>
                <w:sz w:val="28"/>
                <w:szCs w:val="28"/>
              </w:rPr>
              <w:t>2021.005M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8C2149C" w:rsidR="00A174CC" w:rsidRPr="00144494" w:rsidRDefault="008815EE">
            <w:pPr>
              <w:spacing w:before="120"/>
              <w:rPr>
                <w:rFonts w:ascii="Arial" w:hAnsi="Arial" w:cs="Arial"/>
                <w:b/>
              </w:rPr>
            </w:pPr>
            <w:r>
              <w:rPr>
                <w:rFonts w:ascii="Arial" w:hAnsi="Arial" w:cs="Arial"/>
                <w:b/>
              </w:rPr>
              <w:t>Short title:</w:t>
            </w:r>
            <w:r w:rsidRPr="005A54C3">
              <w:rPr>
                <w:rFonts w:ascii="Arial" w:hAnsi="Arial" w:cs="Arial"/>
                <w:bCs/>
                <w:sz w:val="20"/>
                <w:szCs w:val="20"/>
              </w:rPr>
              <w:t xml:space="preserve"> </w:t>
            </w:r>
            <w:r w:rsidR="00BC2E06" w:rsidRPr="00500E83">
              <w:rPr>
                <w:rFonts w:ascii="Arial" w:hAnsi="Arial" w:cs="Arial"/>
                <w:bCs/>
                <w:sz w:val="22"/>
                <w:szCs w:val="22"/>
              </w:rPr>
              <w:t xml:space="preserve">Create </w:t>
            </w:r>
            <w:r w:rsidR="00B0485E">
              <w:rPr>
                <w:rFonts w:ascii="Arial" w:hAnsi="Arial" w:cs="Arial"/>
                <w:bCs/>
                <w:sz w:val="22"/>
                <w:szCs w:val="22"/>
              </w:rPr>
              <w:t>one</w:t>
            </w:r>
            <w:r w:rsidR="00AB41A6" w:rsidRPr="00500E83">
              <w:rPr>
                <w:rFonts w:ascii="Arial" w:hAnsi="Arial" w:cs="Arial"/>
                <w:bCs/>
                <w:sz w:val="22"/>
                <w:szCs w:val="22"/>
              </w:rPr>
              <w:t xml:space="preserve"> </w:t>
            </w:r>
            <w:r w:rsidR="00BC2E06" w:rsidRPr="00500E83">
              <w:rPr>
                <w:rFonts w:ascii="Arial" w:hAnsi="Arial" w:cs="Arial"/>
                <w:bCs/>
                <w:sz w:val="22"/>
                <w:szCs w:val="22"/>
              </w:rPr>
              <w:t xml:space="preserve">new </w:t>
            </w:r>
            <w:r w:rsidR="00B0485E">
              <w:rPr>
                <w:rFonts w:ascii="Arial" w:hAnsi="Arial" w:cs="Arial"/>
                <w:bCs/>
                <w:sz w:val="22"/>
                <w:szCs w:val="22"/>
              </w:rPr>
              <w:t xml:space="preserve">genus </w:t>
            </w:r>
            <w:r w:rsidR="00E428DF">
              <w:rPr>
                <w:rFonts w:ascii="Arial" w:hAnsi="Arial" w:cs="Arial"/>
                <w:bCs/>
                <w:sz w:val="22"/>
                <w:szCs w:val="22"/>
              </w:rPr>
              <w:t>(</w:t>
            </w:r>
            <w:r w:rsidR="00E428DF" w:rsidRPr="00E428DF">
              <w:rPr>
                <w:rFonts w:ascii="Arial" w:hAnsi="Arial" w:cs="Arial"/>
                <w:bCs/>
                <w:i/>
                <w:iCs/>
                <w:sz w:val="22"/>
                <w:szCs w:val="22"/>
              </w:rPr>
              <w:t>Tapjovirus</w:t>
            </w:r>
            <w:r w:rsidR="00E428DF" w:rsidRPr="00E428DF">
              <w:rPr>
                <w:rFonts w:ascii="Arial" w:hAnsi="Arial" w:cs="Arial"/>
                <w:bCs/>
                <w:sz w:val="22"/>
                <w:szCs w:val="22"/>
              </w:rPr>
              <w:t>)</w:t>
            </w:r>
            <w:r w:rsidR="00E428DF">
              <w:rPr>
                <w:rFonts w:ascii="Arial" w:hAnsi="Arial" w:cs="Arial"/>
                <w:bCs/>
                <w:i/>
                <w:iCs/>
                <w:sz w:val="22"/>
                <w:szCs w:val="22"/>
              </w:rPr>
              <w:t xml:space="preserve"> </w:t>
            </w:r>
            <w:r w:rsidR="002B2330">
              <w:rPr>
                <w:rFonts w:ascii="Arial" w:hAnsi="Arial" w:cs="Arial"/>
                <w:bCs/>
                <w:sz w:val="22"/>
                <w:szCs w:val="22"/>
              </w:rPr>
              <w:t>including</w:t>
            </w:r>
            <w:r w:rsidR="00B0485E">
              <w:rPr>
                <w:rFonts w:ascii="Arial" w:hAnsi="Arial" w:cs="Arial"/>
                <w:bCs/>
                <w:sz w:val="22"/>
                <w:szCs w:val="22"/>
              </w:rPr>
              <w:t xml:space="preserve"> </w:t>
            </w:r>
            <w:r w:rsidR="00032A8D">
              <w:rPr>
                <w:rFonts w:ascii="Arial" w:hAnsi="Arial" w:cs="Arial"/>
                <w:bCs/>
                <w:sz w:val="22"/>
                <w:szCs w:val="22"/>
              </w:rPr>
              <w:t>one</w:t>
            </w:r>
            <w:r w:rsidR="00B0485E">
              <w:rPr>
                <w:rFonts w:ascii="Arial" w:hAnsi="Arial" w:cs="Arial"/>
                <w:bCs/>
                <w:sz w:val="22"/>
                <w:szCs w:val="22"/>
              </w:rPr>
              <w:t xml:space="preserve"> new </w:t>
            </w:r>
            <w:r w:rsidR="00BC2E06" w:rsidRPr="00500E83">
              <w:rPr>
                <w:rFonts w:ascii="Arial" w:hAnsi="Arial" w:cs="Arial"/>
                <w:bCs/>
                <w:sz w:val="22"/>
                <w:szCs w:val="22"/>
              </w:rPr>
              <w:t>species</w:t>
            </w:r>
            <w:r w:rsidR="00E428DF">
              <w:rPr>
                <w:rFonts w:ascii="Arial" w:hAnsi="Arial" w:cs="Arial"/>
                <w:bCs/>
                <w:sz w:val="22"/>
                <w:szCs w:val="22"/>
              </w:rPr>
              <w:t xml:space="preserve"> </w:t>
            </w:r>
            <w:r w:rsidR="00AB41A6">
              <w:rPr>
                <w:rFonts w:ascii="Arial" w:hAnsi="Arial" w:cs="Arial"/>
                <w:bCs/>
                <w:sz w:val="22"/>
                <w:szCs w:val="22"/>
              </w:rPr>
              <w:t>(</w:t>
            </w:r>
            <w:r w:rsidR="00AB41A6" w:rsidRPr="00B0485E">
              <w:rPr>
                <w:rFonts w:ascii="Arial" w:hAnsi="Arial" w:cs="Arial"/>
                <w:bCs/>
                <w:i/>
                <w:iCs/>
                <w:sz w:val="22"/>
                <w:szCs w:val="22"/>
              </w:rPr>
              <w:t>Mononegavirales</w:t>
            </w:r>
            <w:r w:rsidR="00E428DF" w:rsidRPr="00E428DF">
              <w:rPr>
                <w:rFonts w:ascii="Arial" w:hAnsi="Arial" w:cs="Arial"/>
                <w:bCs/>
                <w:sz w:val="22"/>
                <w:szCs w:val="22"/>
              </w:rPr>
              <w:t>:</w:t>
            </w:r>
            <w:r w:rsidR="00E428DF" w:rsidRPr="00B0485E">
              <w:rPr>
                <w:rFonts w:ascii="Arial" w:hAnsi="Arial" w:cs="Arial"/>
                <w:bCs/>
                <w:i/>
                <w:iCs/>
                <w:sz w:val="22"/>
                <w:szCs w:val="22"/>
              </w:rPr>
              <w:t xml:space="preserve"> Filoviridae</w:t>
            </w:r>
            <w:r w:rsidR="00AB41A6">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032A8D" w14:paraId="67E4419A" w14:textId="77777777" w:rsidTr="0092139B">
        <w:tc>
          <w:tcPr>
            <w:tcW w:w="4368" w:type="dxa"/>
            <w:shd w:val="clear" w:color="auto" w:fill="auto"/>
          </w:tcPr>
          <w:p w14:paraId="5B4DA008" w14:textId="613F4D9B" w:rsidR="00093889" w:rsidRPr="004003A0" w:rsidRDefault="002B2330" w:rsidP="00B0485E">
            <w:pPr>
              <w:rPr>
                <w:rFonts w:ascii="Arial" w:hAnsi="Arial" w:cs="Arial"/>
                <w:sz w:val="22"/>
                <w:szCs w:val="22"/>
                <w:lang w:val="de-CH"/>
              </w:rPr>
            </w:pPr>
            <w:r>
              <w:rPr>
                <w:rFonts w:ascii="Arial" w:hAnsi="Arial" w:cs="Arial"/>
                <w:sz w:val="22"/>
                <w:szCs w:val="22"/>
                <w:lang w:val="de-CH"/>
              </w:rPr>
              <w:t>Horie M</w:t>
            </w:r>
          </w:p>
        </w:tc>
        <w:tc>
          <w:tcPr>
            <w:tcW w:w="4704" w:type="dxa"/>
            <w:shd w:val="clear" w:color="auto" w:fill="auto"/>
          </w:tcPr>
          <w:p w14:paraId="4C0145EC" w14:textId="47963968" w:rsidR="004003A0" w:rsidRPr="006F6E09" w:rsidRDefault="002B2330" w:rsidP="004003A0">
            <w:pPr>
              <w:rPr>
                <w:rFonts w:ascii="Arial" w:hAnsi="Arial" w:cs="Arial"/>
                <w:sz w:val="22"/>
                <w:szCs w:val="22"/>
                <w:lang w:val="de-CH"/>
              </w:rPr>
            </w:pPr>
            <w:r w:rsidRPr="006F6E09">
              <w:rPr>
                <w:rFonts w:ascii="Arial" w:hAnsi="Arial" w:cs="Arial"/>
                <w:sz w:val="22"/>
                <w:szCs w:val="22"/>
              </w:rPr>
              <w:t>mhorie@vet.osakafu-u.ac.jp</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92525BE" w:rsidR="00A174CC" w:rsidRDefault="002B2330">
            <w:pPr>
              <w:rPr>
                <w:rFonts w:ascii="Arial" w:hAnsi="Arial" w:cs="Arial"/>
                <w:sz w:val="22"/>
                <w:szCs w:val="22"/>
              </w:rPr>
            </w:pPr>
            <w:r>
              <w:rPr>
                <w:rFonts w:ascii="Arial" w:hAnsi="Arial" w:cs="Arial"/>
                <w:sz w:val="22"/>
                <w:szCs w:val="22"/>
              </w:rPr>
              <w:t>Horie M</w:t>
            </w:r>
          </w:p>
        </w:tc>
      </w:tr>
    </w:tbl>
    <w:p w14:paraId="5366F0B8" w14:textId="77777777" w:rsidR="00E14752" w:rsidRDefault="00E14752">
      <w:pPr>
        <w:spacing w:before="120" w:after="120"/>
        <w:rPr>
          <w:rFonts w:ascii="Arial" w:hAnsi="Arial" w:cs="Arial"/>
          <w:b/>
        </w:rPr>
      </w:pPr>
    </w:p>
    <w:p w14:paraId="5872B564" w14:textId="425BB621"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971574E" w:rsidR="00093889" w:rsidRDefault="00954271">
            <w:pPr>
              <w:rPr>
                <w:rFonts w:ascii="Arial" w:hAnsi="Arial" w:cs="Arial"/>
                <w:sz w:val="22"/>
                <w:szCs w:val="22"/>
              </w:rPr>
            </w:pPr>
            <w:r>
              <w:rPr>
                <w:rFonts w:ascii="Arial" w:hAnsi="Arial" w:cs="Arial"/>
                <w:sz w:val="22"/>
                <w:szCs w:val="22"/>
              </w:rPr>
              <w:t xml:space="preserve">ICTV </w:t>
            </w:r>
            <w:r w:rsidRPr="00196215">
              <w:rPr>
                <w:rFonts w:ascii="Arial" w:hAnsi="Arial" w:cs="Arial"/>
                <w:i/>
                <w:iCs/>
                <w:sz w:val="22"/>
                <w:szCs w:val="22"/>
              </w:rPr>
              <w:t>Filoviridae</w:t>
            </w:r>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E918FC5" w:rsidR="00A174CC" w:rsidRDefault="00AB41A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5217DE1" w:rsidR="00A174CC" w:rsidRDefault="00030D0A">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2A3DC166" w14:textId="6BE05519" w:rsidR="00030D0A" w:rsidRPr="001829DD" w:rsidRDefault="00030D0A" w:rsidP="00030D0A">
            <w:pPr>
              <w:pStyle w:val="ListParagraph"/>
              <w:numPr>
                <w:ilvl w:val="0"/>
                <w:numId w:val="9"/>
              </w:numPr>
              <w:ind w:left="360"/>
              <w:rPr>
                <w:rFonts w:ascii="Arial" w:hAnsi="Arial" w:cs="Arial"/>
                <w:sz w:val="22"/>
                <w:szCs w:val="22"/>
              </w:rPr>
            </w:pPr>
            <w:r>
              <w:rPr>
                <w:rFonts w:ascii="Arial" w:hAnsi="Arial" w:cs="Arial"/>
                <w:sz w:val="22"/>
                <w:szCs w:val="22"/>
              </w:rPr>
              <w:t xml:space="preserve">Excel: add GenBank number. </w:t>
            </w:r>
          </w:p>
          <w:p w14:paraId="1E31381B" w14:textId="77777777" w:rsidR="00030D0A" w:rsidRPr="001829DD" w:rsidRDefault="00030D0A" w:rsidP="00030D0A">
            <w:pPr>
              <w:rPr>
                <w:rFonts w:ascii="Arial" w:hAnsi="Arial" w:cs="Arial"/>
                <w:sz w:val="22"/>
                <w:szCs w:val="22"/>
              </w:rPr>
            </w:pPr>
          </w:p>
          <w:p w14:paraId="61421350" w14:textId="1BB410DB" w:rsidR="00030D0A" w:rsidRPr="001829DD" w:rsidRDefault="00030D0A" w:rsidP="00030D0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done.</w:t>
            </w:r>
          </w:p>
          <w:p w14:paraId="3EEBC40C" w14:textId="49AA05DB" w:rsidR="00030D0A" w:rsidRDefault="00030D0A" w:rsidP="00030D0A">
            <w:pPr>
              <w:rPr>
                <w:rFonts w:ascii="Arial" w:hAnsi="Arial" w:cs="Arial"/>
                <w:sz w:val="22"/>
                <w:szCs w:val="22"/>
              </w:rPr>
            </w:pPr>
          </w:p>
          <w:p w14:paraId="1AAF8DC9" w14:textId="73537E36" w:rsidR="005603E5" w:rsidRPr="005603E5" w:rsidRDefault="005603E5" w:rsidP="005603E5">
            <w:pPr>
              <w:pStyle w:val="ListParagraph"/>
              <w:numPr>
                <w:ilvl w:val="0"/>
                <w:numId w:val="10"/>
              </w:numPr>
              <w:rPr>
                <w:rFonts w:ascii="Arial" w:hAnsi="Arial" w:cs="Arial"/>
                <w:sz w:val="22"/>
                <w:szCs w:val="22"/>
              </w:rPr>
            </w:pPr>
            <w:r w:rsidRPr="005603E5">
              <w:rPr>
                <w:rFonts w:ascii="Arial" w:hAnsi="Arial" w:cs="Arial"/>
                <w:sz w:val="22"/>
                <w:szCs w:val="22"/>
              </w:rPr>
              <w:t>As written, it’s unclear how demarcation criteria for both genus and species are satisfied</w:t>
            </w:r>
          </w:p>
          <w:p w14:paraId="165E7D99" w14:textId="79DB5D91" w:rsidR="005603E5" w:rsidRDefault="005603E5" w:rsidP="00030D0A">
            <w:pPr>
              <w:rPr>
                <w:rFonts w:ascii="Arial" w:hAnsi="Arial" w:cs="Arial"/>
                <w:sz w:val="22"/>
                <w:szCs w:val="22"/>
              </w:rPr>
            </w:pPr>
          </w:p>
          <w:p w14:paraId="6FA17EEE" w14:textId="1D9F8549" w:rsidR="005603E5" w:rsidRPr="005603E5" w:rsidRDefault="005603E5" w:rsidP="00030D0A">
            <w:pPr>
              <w:rPr>
                <w:rFonts w:ascii="Arial" w:hAnsi="Arial" w:cs="Arial"/>
                <w:color w:val="000000" w:themeColor="text1"/>
                <w:sz w:val="22"/>
                <w:szCs w:val="22"/>
              </w:rPr>
            </w:pPr>
            <w:r w:rsidRPr="001829DD">
              <w:rPr>
                <w:rFonts w:ascii="Arial" w:hAnsi="Arial" w:cs="Arial"/>
                <w:sz w:val="22"/>
                <w:szCs w:val="22"/>
              </w:rPr>
              <w:t>Response:</w:t>
            </w:r>
            <w:r>
              <w:rPr>
                <w:rFonts w:ascii="Arial" w:hAnsi="Arial" w:cs="Arial"/>
                <w:sz w:val="22"/>
                <w:szCs w:val="22"/>
              </w:rPr>
              <w:t xml:space="preserve"> Now clarified in text: “</w:t>
            </w:r>
            <w:r w:rsidRPr="0040445E">
              <w:rPr>
                <w:rFonts w:ascii="Arial" w:hAnsi="Arial" w:cs="Arial"/>
                <w:color w:val="000000" w:themeColor="text1"/>
                <w:sz w:val="22"/>
                <w:szCs w:val="22"/>
              </w:rPr>
              <w:t xml:space="preserve">The current filovirus sequence-based genus and species demarcation criteria are ≥55% and ≥23% sequence divergence over </w:t>
            </w:r>
            <w:r>
              <w:rPr>
                <w:rFonts w:ascii="Arial" w:hAnsi="Arial" w:cs="Arial"/>
                <w:color w:val="000000" w:themeColor="text1"/>
                <w:sz w:val="22"/>
                <w:szCs w:val="22"/>
              </w:rPr>
              <w:t>coding/near-</w:t>
            </w:r>
            <w:r w:rsidRPr="0040445E">
              <w:rPr>
                <w:rFonts w:ascii="Arial" w:hAnsi="Arial" w:cs="Arial"/>
                <w:color w:val="000000" w:themeColor="text1"/>
                <w:sz w:val="22"/>
                <w:szCs w:val="22"/>
              </w:rPr>
              <w:t xml:space="preserve">complete genome sequences using </w:t>
            </w:r>
            <w:r w:rsidRPr="0040445E">
              <w:rPr>
                <w:rFonts w:ascii="Arial" w:hAnsi="Arial" w:cs="Arial"/>
                <w:color w:val="000000" w:themeColor="text1"/>
                <w:sz w:val="22"/>
                <w:szCs w:val="22"/>
                <w:u w:val="single"/>
              </w:rPr>
              <w:t>PA</w:t>
            </w:r>
            <w:r w:rsidRPr="0040445E">
              <w:rPr>
                <w:rFonts w:ascii="Arial" w:hAnsi="Arial" w:cs="Arial"/>
                <w:color w:val="000000" w:themeColor="text1"/>
                <w:sz w:val="22"/>
                <w:szCs w:val="22"/>
              </w:rPr>
              <w:t xml:space="preserve">irwise </w:t>
            </w:r>
            <w:r w:rsidRPr="0040445E">
              <w:rPr>
                <w:rFonts w:ascii="Arial" w:hAnsi="Arial" w:cs="Arial"/>
                <w:color w:val="000000" w:themeColor="text1"/>
                <w:sz w:val="22"/>
                <w:szCs w:val="22"/>
                <w:u w:val="single"/>
              </w:rPr>
              <w:t>S</w:t>
            </w:r>
            <w:r w:rsidRPr="0040445E">
              <w:rPr>
                <w:rFonts w:ascii="Arial" w:hAnsi="Arial" w:cs="Arial"/>
                <w:color w:val="000000" w:themeColor="text1"/>
                <w:sz w:val="22"/>
                <w:szCs w:val="22"/>
              </w:rPr>
              <w:t xml:space="preserve">equence </w:t>
            </w:r>
            <w:r w:rsidRPr="0040445E">
              <w:rPr>
                <w:rFonts w:ascii="Arial" w:hAnsi="Arial" w:cs="Arial"/>
                <w:color w:val="000000" w:themeColor="text1"/>
                <w:sz w:val="22"/>
                <w:szCs w:val="22"/>
                <w:u w:val="single"/>
              </w:rPr>
              <w:t>C</w:t>
            </w:r>
            <w:r w:rsidRPr="0040445E">
              <w:rPr>
                <w:rFonts w:ascii="Arial" w:hAnsi="Arial" w:cs="Arial"/>
                <w:color w:val="000000" w:themeColor="text1"/>
                <w:sz w:val="22"/>
                <w:szCs w:val="22"/>
              </w:rPr>
              <w:t>omparison (PASC</w:t>
            </w:r>
            <w:r w:rsidRPr="007A7B29">
              <w:rPr>
                <w:rFonts w:ascii="Arial" w:hAnsi="Arial" w:cs="Arial"/>
                <w:color w:val="000000" w:themeColor="text1"/>
                <w:sz w:val="22"/>
                <w:szCs w:val="22"/>
              </w:rPr>
              <w:t>) (3,4). We foun</w:t>
            </w:r>
            <w:r w:rsidRPr="0040445E">
              <w:rPr>
                <w:rFonts w:ascii="Arial" w:hAnsi="Arial" w:cs="Arial"/>
                <w:color w:val="000000" w:themeColor="text1"/>
                <w:sz w:val="22"/>
                <w:szCs w:val="22"/>
              </w:rPr>
              <w:t xml:space="preserve">d a pairwise divergence of </w:t>
            </w:r>
            <w:r>
              <w:rPr>
                <w:rFonts w:ascii="Arial" w:hAnsi="Arial" w:cs="Arial"/>
                <w:color w:val="000000" w:themeColor="text1"/>
                <w:sz w:val="22"/>
                <w:szCs w:val="22"/>
              </w:rPr>
              <w:t>28.66</w:t>
            </w:r>
            <w:r w:rsidRPr="0040445E">
              <w:rPr>
                <w:rFonts w:ascii="Arial" w:hAnsi="Arial" w:cs="Arial"/>
                <w:color w:val="000000" w:themeColor="text1"/>
                <w:sz w:val="22"/>
                <w:szCs w:val="22"/>
              </w:rPr>
              <w:t xml:space="preserve">% compared to </w:t>
            </w:r>
            <w:r>
              <w:rPr>
                <w:rFonts w:ascii="Arial" w:hAnsi="Arial" w:cs="Arial"/>
                <w:color w:val="000000" w:themeColor="text1"/>
                <w:sz w:val="22"/>
                <w:szCs w:val="22"/>
              </w:rPr>
              <w:t xml:space="preserve">the closest relative, </w:t>
            </w:r>
            <w:r w:rsidRPr="00627E31">
              <w:rPr>
                <w:rFonts w:ascii="Arial" w:hAnsi="Arial" w:cs="Arial"/>
                <w:color w:val="000000" w:themeColor="text1"/>
                <w:sz w:val="22"/>
                <w:szCs w:val="22"/>
              </w:rPr>
              <w:t xml:space="preserve">Bombali virus (BOMV; </w:t>
            </w:r>
            <w:r w:rsidRPr="00627E31">
              <w:rPr>
                <w:rFonts w:ascii="Arial" w:hAnsi="Arial" w:cs="Arial"/>
                <w:i/>
                <w:iCs/>
                <w:color w:val="000000" w:themeColor="text1"/>
                <w:sz w:val="22"/>
                <w:szCs w:val="22"/>
              </w:rPr>
              <w:t>Filoviridae</w:t>
            </w:r>
            <w:r w:rsidRPr="00627E31">
              <w:rPr>
                <w:rFonts w:ascii="Arial" w:hAnsi="Arial" w:cs="Arial"/>
                <w:color w:val="000000" w:themeColor="text1"/>
                <w:sz w:val="22"/>
                <w:szCs w:val="22"/>
              </w:rPr>
              <w:t xml:space="preserve">: </w:t>
            </w:r>
            <w:r w:rsidRPr="00627E31">
              <w:rPr>
                <w:rFonts w:ascii="Arial" w:hAnsi="Arial" w:cs="Arial"/>
                <w:i/>
                <w:iCs/>
                <w:color w:val="000000" w:themeColor="text1"/>
                <w:sz w:val="22"/>
                <w:szCs w:val="22"/>
              </w:rPr>
              <w:t>Ebolavirus</w:t>
            </w:r>
            <w:r w:rsidRPr="00627E31">
              <w:rPr>
                <w:rFonts w:ascii="Arial" w:hAnsi="Arial" w:cs="Arial"/>
                <w:color w:val="000000" w:themeColor="text1"/>
                <w:sz w:val="22"/>
                <w:szCs w:val="22"/>
              </w:rPr>
              <w:t>)</w:t>
            </w:r>
            <w:r w:rsidRPr="0040445E">
              <w:rPr>
                <w:rFonts w:ascii="Arial" w:hAnsi="Arial" w:cs="Arial"/>
                <w:color w:val="000000" w:themeColor="text1"/>
                <w:sz w:val="22"/>
                <w:szCs w:val="22"/>
              </w:rPr>
              <w:t xml:space="preserve">, indicating that </w:t>
            </w:r>
            <w:r>
              <w:rPr>
                <w:rFonts w:ascii="Arial" w:hAnsi="Arial" w:cs="Arial"/>
                <w:color w:val="000000" w:themeColor="text1"/>
                <w:sz w:val="22"/>
                <w:szCs w:val="22"/>
              </w:rPr>
              <w:t>TAPV</w:t>
            </w:r>
            <w:r w:rsidRPr="0040445E">
              <w:rPr>
                <w:rFonts w:ascii="Arial" w:hAnsi="Arial" w:cs="Arial"/>
                <w:color w:val="000000" w:themeColor="text1"/>
                <w:sz w:val="22"/>
                <w:szCs w:val="22"/>
              </w:rPr>
              <w:t xml:space="preserve"> </w:t>
            </w:r>
            <w:r>
              <w:rPr>
                <w:rFonts w:ascii="Arial" w:hAnsi="Arial" w:cs="Arial"/>
                <w:color w:val="000000" w:themeColor="text1"/>
                <w:sz w:val="22"/>
                <w:szCs w:val="22"/>
              </w:rPr>
              <w:t>requires the establishment of</w:t>
            </w:r>
            <w:r w:rsidRPr="0040445E">
              <w:rPr>
                <w:rFonts w:ascii="Arial" w:hAnsi="Arial" w:cs="Arial"/>
                <w:color w:val="000000" w:themeColor="text1"/>
                <w:sz w:val="22"/>
                <w:szCs w:val="22"/>
              </w:rPr>
              <w:t xml:space="preserve"> a new species</w:t>
            </w:r>
            <w:r>
              <w:rPr>
                <w:rFonts w:ascii="Arial" w:hAnsi="Arial" w:cs="Arial"/>
                <w:color w:val="000000" w:themeColor="text1"/>
                <w:sz w:val="22"/>
                <w:szCs w:val="22"/>
              </w:rPr>
              <w:t xml:space="preserve"> in a new genus</w:t>
            </w:r>
            <w:r w:rsidRPr="0040445E">
              <w:rPr>
                <w:rFonts w:ascii="Arial" w:hAnsi="Arial" w:cs="Arial"/>
                <w:color w:val="000000" w:themeColor="text1"/>
                <w:sz w:val="22"/>
                <w:szCs w:val="22"/>
              </w:rPr>
              <w:t>.</w:t>
            </w:r>
            <w:r>
              <w:rPr>
                <w:rFonts w:ascii="Arial" w:hAnsi="Arial" w:cs="Arial"/>
                <w:sz w:val="22"/>
                <w:szCs w:val="22"/>
              </w:rPr>
              <w:t>”</w:t>
            </w:r>
          </w:p>
          <w:p w14:paraId="15BCC8B3" w14:textId="77777777" w:rsidR="005603E5" w:rsidRPr="001829DD" w:rsidRDefault="005603E5" w:rsidP="00030D0A">
            <w:pPr>
              <w:rPr>
                <w:rFonts w:ascii="Arial" w:hAnsi="Arial" w:cs="Arial"/>
                <w:sz w:val="22"/>
                <w:szCs w:val="22"/>
              </w:rPr>
            </w:pPr>
          </w:p>
          <w:p w14:paraId="75CCCDFB" w14:textId="77777777" w:rsidR="00030D0A" w:rsidRPr="001829DD" w:rsidRDefault="00030D0A" w:rsidP="00030D0A">
            <w:pPr>
              <w:pStyle w:val="ListParagraph"/>
              <w:numPr>
                <w:ilvl w:val="0"/>
                <w:numId w:val="9"/>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4D071D47" w14:textId="77777777" w:rsidR="00030D0A" w:rsidRPr="001829DD" w:rsidRDefault="00030D0A" w:rsidP="00030D0A">
            <w:pPr>
              <w:rPr>
                <w:rFonts w:ascii="Arial" w:hAnsi="Arial" w:cs="Arial"/>
                <w:sz w:val="22"/>
                <w:szCs w:val="22"/>
              </w:rPr>
            </w:pPr>
          </w:p>
          <w:p w14:paraId="624F1866" w14:textId="24FB19D1" w:rsidR="00A174CC" w:rsidRDefault="00030D0A" w:rsidP="00030D0A">
            <w:pPr>
              <w:rPr>
                <w:rFonts w:ascii="Arial" w:hAnsi="Arial" w:cs="Arial"/>
                <w:sz w:val="22"/>
                <w:szCs w:val="22"/>
              </w:rPr>
            </w:pPr>
            <w:r w:rsidRPr="001829DD">
              <w:rPr>
                <w:rFonts w:ascii="Arial" w:hAnsi="Arial" w:cs="Arial"/>
                <w:sz w:val="22"/>
                <w:szCs w:val="22"/>
              </w:rPr>
              <w:t>Response: Read, confirmed, and confirmed.</w:t>
            </w: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F2357E1" w14:textId="77777777" w:rsidR="00755B25" w:rsidRDefault="00755B25">
      <w:pPr>
        <w:spacing w:before="120" w:after="120"/>
        <w:rPr>
          <w:rFonts w:ascii="Arial" w:hAnsi="Arial" w:cs="Arial"/>
          <w:b/>
        </w:rPr>
      </w:pPr>
    </w:p>
    <w:p w14:paraId="1943EDC9" w14:textId="6453D51B"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15EB271C" w:rsidR="00A174CC" w:rsidRDefault="00AD3518">
            <w:pPr>
              <w:spacing w:before="120" w:after="120"/>
              <w:rPr>
                <w:rFonts w:ascii="Arial" w:hAnsi="Arial" w:cs="Arial"/>
                <w:bCs/>
                <w:sz w:val="22"/>
                <w:szCs w:val="22"/>
              </w:rPr>
            </w:pPr>
            <w:r w:rsidRPr="00AD3518">
              <w:rPr>
                <w:rFonts w:ascii="Arial" w:hAnsi="Arial" w:cs="Arial"/>
                <w:bCs/>
                <w:sz w:val="22"/>
                <w:szCs w:val="22"/>
              </w:rPr>
              <w:t>2021.</w:t>
            </w:r>
            <w:r w:rsidR="006F6E09">
              <w:rPr>
                <w:rFonts w:ascii="Arial" w:hAnsi="Arial" w:cs="Arial"/>
                <w:bCs/>
                <w:sz w:val="22"/>
                <w:szCs w:val="22"/>
              </w:rPr>
              <w:t>005</w:t>
            </w:r>
            <w:r w:rsidRPr="00AD3518">
              <w:rPr>
                <w:rFonts w:ascii="Arial" w:hAnsi="Arial" w:cs="Arial"/>
                <w:bCs/>
                <w:sz w:val="22"/>
                <w:szCs w:val="22"/>
              </w:rPr>
              <w:t>M.</w:t>
            </w:r>
            <w:r w:rsidR="000A1260">
              <w:rPr>
                <w:rFonts w:ascii="Arial" w:hAnsi="Arial" w:cs="Arial"/>
                <w:bCs/>
                <w:sz w:val="22"/>
                <w:szCs w:val="22"/>
              </w:rPr>
              <w:t>R</w:t>
            </w:r>
            <w:r w:rsidRPr="00AD3518">
              <w:rPr>
                <w:rFonts w:ascii="Arial" w:hAnsi="Arial" w:cs="Arial"/>
                <w:bCs/>
                <w:sz w:val="22"/>
                <w:szCs w:val="22"/>
              </w:rPr>
              <w:t>.Filoviridae_1ngen_1nsp</w:t>
            </w:r>
          </w:p>
        </w:tc>
      </w:tr>
    </w:tbl>
    <w:p w14:paraId="3ACCB610" w14:textId="77777777" w:rsidR="00755B25" w:rsidRDefault="00755B25">
      <w:pPr>
        <w:spacing w:before="120" w:after="120"/>
        <w:rPr>
          <w:rFonts w:ascii="Arial" w:hAnsi="Arial" w:cs="Arial"/>
          <w:b/>
        </w:rPr>
      </w:pPr>
    </w:p>
    <w:p w14:paraId="70690697" w14:textId="6DD2D1A9"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4F056B63" w:rsidR="00A174CC" w:rsidRPr="00454F70" w:rsidRDefault="009930C5">
            <w:pPr>
              <w:rPr>
                <w:rFonts w:ascii="Arial" w:hAnsi="Arial" w:cs="Arial"/>
                <w:bCs/>
                <w:sz w:val="22"/>
                <w:szCs w:val="22"/>
              </w:rPr>
            </w:pPr>
            <w:r>
              <w:rPr>
                <w:rFonts w:ascii="Arial" w:hAnsi="Arial" w:cs="Arial"/>
                <w:bCs/>
                <w:sz w:val="22"/>
                <w:szCs w:val="22"/>
              </w:rPr>
              <w:t xml:space="preserve">We propose to establish one new filovirid genus, </w:t>
            </w:r>
            <w:r w:rsidR="00362423" w:rsidRPr="0092139B">
              <w:rPr>
                <w:rFonts w:ascii="Arial" w:hAnsi="Arial" w:cs="Arial"/>
                <w:bCs/>
                <w:i/>
                <w:iCs/>
                <w:sz w:val="22"/>
                <w:szCs w:val="22"/>
              </w:rPr>
              <w:t>Tapjovirus</w:t>
            </w:r>
            <w:r>
              <w:rPr>
                <w:rFonts w:ascii="Arial" w:hAnsi="Arial" w:cs="Arial"/>
                <w:bCs/>
                <w:sz w:val="22"/>
                <w:szCs w:val="22"/>
              </w:rPr>
              <w:t>, including one new species (</w:t>
            </w:r>
            <w:r w:rsidR="00362423" w:rsidRPr="006F6E09">
              <w:rPr>
                <w:rFonts w:ascii="Arial" w:hAnsi="Arial" w:cs="Arial"/>
                <w:bCs/>
                <w:i/>
                <w:iCs/>
                <w:sz w:val="22"/>
                <w:szCs w:val="22"/>
              </w:rPr>
              <w:t>Tapjovirus bothropis</w:t>
            </w:r>
            <w:r>
              <w:rPr>
                <w:rFonts w:ascii="Arial" w:hAnsi="Arial" w:cs="Arial"/>
                <w:bCs/>
                <w:sz w:val="22"/>
                <w:szCs w:val="22"/>
              </w:rPr>
              <w:t>)</w:t>
            </w:r>
            <w:r w:rsidR="002B2330">
              <w:rPr>
                <w:rFonts w:ascii="Arial" w:hAnsi="Arial" w:cs="Arial"/>
                <w:bCs/>
                <w:sz w:val="22"/>
                <w:szCs w:val="22"/>
              </w:rPr>
              <w:t xml:space="preserve"> </w:t>
            </w:r>
            <w:r>
              <w:rPr>
                <w:rFonts w:ascii="Arial" w:hAnsi="Arial" w:cs="Arial"/>
                <w:bCs/>
                <w:sz w:val="22"/>
                <w:szCs w:val="22"/>
              </w:rPr>
              <w:t>to accommodate</w:t>
            </w:r>
            <w:r w:rsidR="00DC0D83">
              <w:rPr>
                <w:rFonts w:ascii="Arial" w:hAnsi="Arial" w:cs="Arial"/>
                <w:bCs/>
                <w:sz w:val="22"/>
                <w:szCs w:val="22"/>
              </w:rPr>
              <w:t xml:space="preserve"> </w:t>
            </w:r>
            <w:r w:rsidR="00652437" w:rsidRPr="00652437">
              <w:rPr>
                <w:rFonts w:ascii="Arial" w:hAnsi="Arial" w:cs="Arial"/>
                <w:bCs/>
                <w:sz w:val="22"/>
                <w:szCs w:val="22"/>
              </w:rPr>
              <w:t>Tapajós virus</w:t>
            </w:r>
            <w:r w:rsidR="00652437">
              <w:rPr>
                <w:rFonts w:ascii="Arial" w:hAnsi="Arial" w:cs="Arial"/>
                <w:bCs/>
                <w:sz w:val="22"/>
                <w:szCs w:val="22"/>
              </w:rPr>
              <w:t xml:space="preserve"> (TAPV)</w:t>
            </w:r>
            <w:r>
              <w:rPr>
                <w:rFonts w:ascii="Arial" w:hAnsi="Arial" w:cs="Arial"/>
                <w:bCs/>
                <w:sz w:val="22"/>
                <w:szCs w:val="22"/>
              </w:rPr>
              <w:t xml:space="preserve">, which </w:t>
            </w:r>
            <w:r w:rsidR="00652437">
              <w:rPr>
                <w:rFonts w:ascii="Arial" w:hAnsi="Arial" w:cs="Arial"/>
                <w:bCs/>
                <w:sz w:val="22"/>
                <w:szCs w:val="22"/>
              </w:rPr>
              <w:t>was</w:t>
            </w:r>
            <w:r>
              <w:rPr>
                <w:rFonts w:ascii="Arial" w:hAnsi="Arial" w:cs="Arial"/>
                <w:bCs/>
                <w:sz w:val="22"/>
                <w:szCs w:val="22"/>
              </w:rPr>
              <w:t xml:space="preserve"> discovered by high-throughput sequencing </w:t>
            </w:r>
            <w:r w:rsidR="002B2330">
              <w:rPr>
                <w:rFonts w:ascii="Arial" w:hAnsi="Arial" w:cs="Arial"/>
                <w:bCs/>
                <w:sz w:val="22"/>
                <w:szCs w:val="22"/>
              </w:rPr>
              <w:t>in a viperid snake from</w:t>
            </w:r>
            <w:r w:rsidR="00652437" w:rsidRPr="00652437">
              <w:rPr>
                <w:rFonts w:ascii="Arial" w:hAnsi="Arial" w:cs="Arial"/>
                <w:bCs/>
                <w:sz w:val="22"/>
                <w:szCs w:val="22"/>
              </w:rPr>
              <w:t xml:space="preserve"> Tapajós National Forest, Brazil</w:t>
            </w:r>
            <w:r>
              <w:rPr>
                <w:rFonts w:ascii="Arial" w:hAnsi="Arial" w:cs="Arial"/>
                <w:bCs/>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468"/>
      </w:tblGrid>
      <w:tr w:rsidR="00A174CC" w14:paraId="15A4B8D2" w14:textId="77777777">
        <w:trPr>
          <w:trHeight w:val="1566"/>
        </w:trPr>
        <w:tc>
          <w:tcPr>
            <w:tcW w:w="9228" w:type="dxa"/>
            <w:shd w:val="clear" w:color="auto" w:fill="auto"/>
          </w:tcPr>
          <w:p w14:paraId="3F2A00F5" w14:textId="4BC23DD3" w:rsidR="00A174CC" w:rsidRDefault="00A174CC" w:rsidP="00AD25DE">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242"/>
            </w:tblGrid>
            <w:tr w:rsidR="00A174CC" w14:paraId="195FC3CF" w14:textId="77777777">
              <w:tc>
                <w:tcPr>
                  <w:tcW w:w="9002" w:type="dxa"/>
                  <w:shd w:val="clear" w:color="auto" w:fill="auto"/>
                </w:tcPr>
                <w:p w14:paraId="4F12D4DB" w14:textId="236B39AA" w:rsidR="0040445E" w:rsidRDefault="001E2866" w:rsidP="0040445E">
                  <w:pPr>
                    <w:rPr>
                      <w:rFonts w:ascii="Arial" w:hAnsi="Arial" w:cs="Arial"/>
                      <w:color w:val="000000" w:themeColor="text1"/>
                      <w:sz w:val="22"/>
                      <w:szCs w:val="22"/>
                    </w:rPr>
                  </w:pPr>
                  <w:r>
                    <w:rPr>
                      <w:rFonts w:ascii="Arial" w:hAnsi="Arial" w:cs="Arial"/>
                      <w:color w:val="000000" w:themeColor="text1"/>
                      <w:sz w:val="22"/>
                      <w:szCs w:val="22"/>
                    </w:rPr>
                    <w:t xml:space="preserve">We discovered </w:t>
                  </w:r>
                  <w:r w:rsidR="007812E7">
                    <w:rPr>
                      <w:rFonts w:ascii="Arial" w:hAnsi="Arial" w:cs="Arial"/>
                      <w:color w:val="000000" w:themeColor="text1"/>
                      <w:sz w:val="22"/>
                      <w:szCs w:val="22"/>
                    </w:rPr>
                    <w:t>a</w:t>
                  </w:r>
                  <w:r>
                    <w:rPr>
                      <w:rFonts w:ascii="Arial" w:hAnsi="Arial" w:cs="Arial"/>
                      <w:color w:val="000000" w:themeColor="text1"/>
                      <w:sz w:val="22"/>
                      <w:szCs w:val="22"/>
                    </w:rPr>
                    <w:t xml:space="preserve"> new virus in </w:t>
                  </w:r>
                  <w:r w:rsidR="007812E7" w:rsidRPr="007812E7">
                    <w:rPr>
                      <w:rFonts w:ascii="Arial" w:hAnsi="Arial" w:cs="Arial"/>
                      <w:color w:val="000000" w:themeColor="text1"/>
                      <w:sz w:val="22"/>
                      <w:szCs w:val="22"/>
                    </w:rPr>
                    <w:t>in a common lancehead (</w:t>
                  </w:r>
                  <w:r w:rsidR="007812E7" w:rsidRPr="007812E7">
                    <w:rPr>
                      <w:rFonts w:ascii="Arial" w:hAnsi="Arial" w:cs="Arial"/>
                      <w:i/>
                      <w:iCs/>
                      <w:color w:val="000000" w:themeColor="text1"/>
                      <w:sz w:val="22"/>
                      <w:szCs w:val="22"/>
                    </w:rPr>
                    <w:t>Bothrops atrox</w:t>
                  </w:r>
                  <w:r w:rsidR="007812E7" w:rsidRPr="007812E7">
                    <w:rPr>
                      <w:rFonts w:ascii="Arial" w:hAnsi="Arial" w:cs="Arial"/>
                      <w:color w:val="000000" w:themeColor="text1"/>
                      <w:sz w:val="22"/>
                      <w:szCs w:val="22"/>
                    </w:rPr>
                    <w:t xml:space="preserve"> </w:t>
                  </w:r>
                  <w:r w:rsidR="002B2330">
                    <w:rPr>
                      <w:rFonts w:ascii="Arial" w:hAnsi="Arial" w:cs="Arial"/>
                      <w:color w:val="000000" w:themeColor="text1"/>
                      <w:sz w:val="22"/>
                      <w:szCs w:val="22"/>
                    </w:rPr>
                    <w:t>(</w:t>
                  </w:r>
                  <w:r w:rsidR="007812E7" w:rsidRPr="007812E7">
                    <w:rPr>
                      <w:rFonts w:ascii="Arial" w:hAnsi="Arial" w:cs="Arial"/>
                      <w:color w:val="000000" w:themeColor="text1"/>
                      <w:sz w:val="22"/>
                      <w:szCs w:val="22"/>
                    </w:rPr>
                    <w:t>Linnaeus, 1758</w:t>
                  </w:r>
                  <w:r w:rsidR="002B2330">
                    <w:rPr>
                      <w:rFonts w:ascii="Arial" w:hAnsi="Arial" w:cs="Arial"/>
                      <w:color w:val="000000" w:themeColor="text1"/>
                      <w:sz w:val="22"/>
                      <w:szCs w:val="22"/>
                    </w:rPr>
                    <w:t>)</w:t>
                  </w:r>
                  <w:r w:rsidR="007812E7" w:rsidRPr="007812E7">
                    <w:rPr>
                      <w:rFonts w:ascii="Arial" w:hAnsi="Arial" w:cs="Arial"/>
                      <w:color w:val="000000" w:themeColor="text1"/>
                      <w:sz w:val="22"/>
                      <w:szCs w:val="22"/>
                    </w:rPr>
                    <w:t>)</w:t>
                  </w:r>
                  <w:r>
                    <w:rPr>
                      <w:rFonts w:ascii="Arial" w:hAnsi="Arial" w:cs="Arial"/>
                      <w:color w:val="000000" w:themeColor="text1"/>
                      <w:sz w:val="22"/>
                      <w:szCs w:val="22"/>
                    </w:rPr>
                    <w:t xml:space="preserve"> in </w:t>
                  </w:r>
                  <w:r w:rsidR="007812E7">
                    <w:rPr>
                      <w:rFonts w:ascii="Arial" w:hAnsi="Arial" w:cs="Arial"/>
                      <w:color w:val="000000" w:themeColor="text1"/>
                      <w:sz w:val="22"/>
                      <w:szCs w:val="22"/>
                    </w:rPr>
                    <w:t>Brazil</w:t>
                  </w:r>
                  <w:r>
                    <w:rPr>
                      <w:rFonts w:ascii="Arial" w:hAnsi="Arial" w:cs="Arial"/>
                      <w:color w:val="000000" w:themeColor="text1"/>
                      <w:sz w:val="22"/>
                      <w:szCs w:val="22"/>
                    </w:rPr>
                    <w:t xml:space="preserve"> by bioinformatic analysis</w:t>
                  </w:r>
                  <w:r w:rsidR="00503F95">
                    <w:rPr>
                      <w:rFonts w:ascii="Arial" w:hAnsi="Arial" w:cs="Arial"/>
                      <w:color w:val="000000" w:themeColor="text1"/>
                      <w:sz w:val="22"/>
                      <w:szCs w:val="22"/>
                    </w:rPr>
                    <w:t xml:space="preserve"> </w:t>
                  </w:r>
                  <w:r w:rsidR="00E8258B">
                    <w:rPr>
                      <w:rFonts w:ascii="Arial" w:hAnsi="Arial" w:cs="Arial"/>
                      <w:color w:val="000000" w:themeColor="text1"/>
                      <w:sz w:val="22"/>
                      <w:szCs w:val="22"/>
                    </w:rPr>
                    <w:t xml:space="preserve">using </w:t>
                  </w:r>
                  <w:r w:rsidR="006400E6">
                    <w:rPr>
                      <w:rFonts w:ascii="Arial" w:hAnsi="Arial" w:cs="Arial"/>
                      <w:color w:val="000000" w:themeColor="text1"/>
                      <w:sz w:val="22"/>
                      <w:szCs w:val="22"/>
                    </w:rPr>
                    <w:t>previously published</w:t>
                  </w:r>
                  <w:r w:rsidR="00E8258B">
                    <w:rPr>
                      <w:rFonts w:ascii="Arial" w:hAnsi="Arial" w:cs="Arial"/>
                      <w:color w:val="000000" w:themeColor="text1"/>
                      <w:sz w:val="22"/>
                      <w:szCs w:val="22"/>
                    </w:rPr>
                    <w:t xml:space="preserve"> RNA-sequencing da</w:t>
                  </w:r>
                  <w:r w:rsidR="00E8258B" w:rsidRPr="007A7B29">
                    <w:rPr>
                      <w:rFonts w:ascii="Arial" w:hAnsi="Arial" w:cs="Arial"/>
                      <w:color w:val="000000" w:themeColor="text1"/>
                      <w:sz w:val="22"/>
                      <w:szCs w:val="22"/>
                    </w:rPr>
                    <w:t xml:space="preserve">ta </w:t>
                  </w:r>
                  <w:r w:rsidR="00503F95" w:rsidRPr="007A7B29">
                    <w:rPr>
                      <w:rFonts w:ascii="Arial" w:hAnsi="Arial" w:cs="Arial"/>
                      <w:color w:val="000000" w:themeColor="text1"/>
                      <w:sz w:val="22"/>
                      <w:szCs w:val="22"/>
                    </w:rPr>
                    <w:t>(</w:t>
                  </w:r>
                  <w:r w:rsidR="007812E7" w:rsidRPr="007A7B29">
                    <w:rPr>
                      <w:rFonts w:ascii="Arial" w:hAnsi="Arial" w:cs="Arial"/>
                      <w:color w:val="000000" w:themeColor="text1"/>
                      <w:sz w:val="22"/>
                      <w:szCs w:val="22"/>
                    </w:rPr>
                    <w:t>1</w:t>
                  </w:r>
                  <w:r w:rsidR="00A70A54" w:rsidRPr="007A7B29">
                    <w:rPr>
                      <w:rFonts w:ascii="Arial" w:hAnsi="Arial" w:cs="Arial"/>
                      <w:color w:val="000000" w:themeColor="text1"/>
                      <w:sz w:val="22"/>
                      <w:szCs w:val="22"/>
                    </w:rPr>
                    <w:t>,2</w:t>
                  </w:r>
                  <w:r w:rsidR="00503F95" w:rsidRPr="007A7B29">
                    <w:rPr>
                      <w:rFonts w:ascii="Arial" w:hAnsi="Arial" w:cs="Arial"/>
                      <w:color w:val="000000" w:themeColor="text1"/>
                      <w:sz w:val="22"/>
                      <w:szCs w:val="22"/>
                    </w:rPr>
                    <w:t>)</w:t>
                  </w:r>
                  <w:r w:rsidRPr="007A7B29">
                    <w:rPr>
                      <w:rFonts w:ascii="Arial" w:hAnsi="Arial" w:cs="Arial"/>
                      <w:color w:val="000000" w:themeColor="text1"/>
                      <w:sz w:val="22"/>
                      <w:szCs w:val="22"/>
                    </w:rPr>
                    <w:t>.</w:t>
                  </w:r>
                  <w:r>
                    <w:rPr>
                      <w:rFonts w:ascii="Arial" w:hAnsi="Arial" w:cs="Arial"/>
                      <w:color w:val="000000" w:themeColor="text1"/>
                      <w:sz w:val="22"/>
                      <w:szCs w:val="22"/>
                    </w:rPr>
                    <w:t xml:space="preserve"> </w:t>
                  </w:r>
                  <w:r w:rsidR="0040445E" w:rsidRPr="0040445E">
                    <w:rPr>
                      <w:rFonts w:ascii="Arial" w:hAnsi="Arial" w:cs="Arial"/>
                      <w:color w:val="000000" w:themeColor="text1"/>
                      <w:sz w:val="22"/>
                      <w:szCs w:val="22"/>
                    </w:rPr>
                    <w:t xml:space="preserve">We named </w:t>
                  </w:r>
                  <w:r w:rsidR="00E8258B">
                    <w:rPr>
                      <w:rFonts w:ascii="Arial" w:hAnsi="Arial" w:cs="Arial"/>
                      <w:color w:val="000000" w:themeColor="text1"/>
                      <w:sz w:val="22"/>
                      <w:szCs w:val="22"/>
                    </w:rPr>
                    <w:t>this virus</w:t>
                  </w:r>
                  <w:r w:rsidR="0040445E" w:rsidRPr="0040445E">
                    <w:rPr>
                      <w:rFonts w:ascii="Arial" w:hAnsi="Arial" w:cs="Arial"/>
                      <w:color w:val="000000" w:themeColor="text1"/>
                      <w:sz w:val="22"/>
                      <w:szCs w:val="22"/>
                    </w:rPr>
                    <w:t xml:space="preserve"> </w:t>
                  </w:r>
                  <w:r w:rsidR="00E8258B" w:rsidRPr="00E8258B">
                    <w:rPr>
                      <w:rFonts w:ascii="Arial" w:hAnsi="Arial" w:cs="Arial"/>
                      <w:color w:val="000000" w:themeColor="text1"/>
                      <w:sz w:val="22"/>
                      <w:szCs w:val="22"/>
                    </w:rPr>
                    <w:t>Tapajós virus (TAPV)</w:t>
                  </w:r>
                  <w:r w:rsidR="0040445E" w:rsidRPr="0040445E">
                    <w:rPr>
                      <w:rFonts w:ascii="Arial" w:hAnsi="Arial" w:cs="Arial"/>
                      <w:color w:val="000000" w:themeColor="text1"/>
                      <w:sz w:val="22"/>
                      <w:szCs w:val="22"/>
                    </w:rPr>
                    <w:t xml:space="preserve"> after the </w:t>
                  </w:r>
                  <w:r w:rsidR="00E8258B" w:rsidRPr="00E8258B">
                    <w:rPr>
                      <w:rFonts w:ascii="Arial" w:hAnsi="Arial" w:cs="Arial"/>
                      <w:color w:val="000000" w:themeColor="text1"/>
                      <w:sz w:val="22"/>
                      <w:szCs w:val="22"/>
                    </w:rPr>
                    <w:t>Tapajós National Forest</w:t>
                  </w:r>
                  <w:r w:rsidR="0040445E" w:rsidRPr="0040445E">
                    <w:rPr>
                      <w:rFonts w:ascii="Arial" w:hAnsi="Arial" w:cs="Arial"/>
                      <w:color w:val="000000" w:themeColor="text1"/>
                      <w:sz w:val="22"/>
                      <w:szCs w:val="22"/>
                    </w:rPr>
                    <w:t xml:space="preserve">. </w:t>
                  </w:r>
                  <w:r w:rsidR="00954271">
                    <w:rPr>
                      <w:rFonts w:ascii="Arial" w:hAnsi="Arial" w:cs="Arial"/>
                      <w:color w:val="000000" w:themeColor="text1"/>
                      <w:sz w:val="22"/>
                      <w:szCs w:val="22"/>
                    </w:rPr>
                    <w:t>T</w:t>
                  </w:r>
                  <w:r w:rsidR="0040445E" w:rsidRPr="0040445E">
                    <w:rPr>
                      <w:rFonts w:ascii="Arial" w:hAnsi="Arial" w:cs="Arial"/>
                      <w:color w:val="000000" w:themeColor="text1"/>
                      <w:sz w:val="22"/>
                      <w:szCs w:val="22"/>
                    </w:rPr>
                    <w:t xml:space="preserve">he </w:t>
                  </w:r>
                  <w:r w:rsidR="00E8258B">
                    <w:rPr>
                      <w:rFonts w:ascii="Arial" w:hAnsi="Arial" w:cs="Arial"/>
                      <w:color w:val="000000" w:themeColor="text1"/>
                      <w:sz w:val="22"/>
                      <w:szCs w:val="22"/>
                    </w:rPr>
                    <w:t>TAPV</w:t>
                  </w:r>
                  <w:r w:rsidR="0040445E" w:rsidRPr="0040445E">
                    <w:rPr>
                      <w:rFonts w:ascii="Arial" w:hAnsi="Arial" w:cs="Arial"/>
                      <w:color w:val="000000" w:themeColor="text1"/>
                      <w:sz w:val="22"/>
                      <w:szCs w:val="22"/>
                    </w:rPr>
                    <w:t xml:space="preserve"> genome </w:t>
                  </w:r>
                  <w:r w:rsidR="00954271">
                    <w:rPr>
                      <w:rFonts w:ascii="Arial" w:hAnsi="Arial" w:cs="Arial"/>
                      <w:color w:val="000000" w:themeColor="text1"/>
                      <w:sz w:val="22"/>
                      <w:szCs w:val="22"/>
                    </w:rPr>
                    <w:t>sequence is</w:t>
                  </w:r>
                  <w:r w:rsidR="0040445E" w:rsidRPr="0040445E">
                    <w:rPr>
                      <w:rFonts w:ascii="Arial" w:hAnsi="Arial" w:cs="Arial"/>
                      <w:color w:val="000000" w:themeColor="text1"/>
                      <w:sz w:val="22"/>
                      <w:szCs w:val="22"/>
                    </w:rPr>
                    <w:t xml:space="preserve"> coding-complete</w:t>
                  </w:r>
                  <w:r w:rsidR="002B2330">
                    <w:rPr>
                      <w:rFonts w:ascii="Arial" w:hAnsi="Arial" w:cs="Arial"/>
                      <w:color w:val="000000" w:themeColor="text1"/>
                      <w:sz w:val="22"/>
                      <w:szCs w:val="22"/>
                    </w:rPr>
                    <w:t xml:space="preserve">and </w:t>
                  </w:r>
                  <w:r w:rsidR="0040445E" w:rsidRPr="0040445E">
                    <w:rPr>
                      <w:rFonts w:ascii="Arial" w:hAnsi="Arial" w:cs="Arial"/>
                      <w:color w:val="000000" w:themeColor="text1"/>
                      <w:sz w:val="22"/>
                      <w:szCs w:val="22"/>
                    </w:rPr>
                    <w:t>encod</w:t>
                  </w:r>
                  <w:r w:rsidR="00E8258B">
                    <w:rPr>
                      <w:rFonts w:ascii="Arial" w:hAnsi="Arial" w:cs="Arial"/>
                      <w:color w:val="000000" w:themeColor="text1"/>
                      <w:sz w:val="22"/>
                      <w:szCs w:val="22"/>
                    </w:rPr>
                    <w:t>es</w:t>
                  </w:r>
                  <w:r w:rsidR="0040445E" w:rsidRPr="0040445E">
                    <w:rPr>
                      <w:rFonts w:ascii="Arial" w:hAnsi="Arial" w:cs="Arial"/>
                      <w:color w:val="000000" w:themeColor="text1"/>
                      <w:sz w:val="22"/>
                      <w:szCs w:val="22"/>
                    </w:rPr>
                    <w:t xml:space="preserve"> the </w:t>
                  </w:r>
                  <w:r w:rsidR="00954271">
                    <w:rPr>
                      <w:rFonts w:ascii="Arial" w:hAnsi="Arial" w:cs="Arial"/>
                      <w:color w:val="000000" w:themeColor="text1"/>
                      <w:sz w:val="22"/>
                      <w:szCs w:val="22"/>
                    </w:rPr>
                    <w:t>canonical</w:t>
                  </w:r>
                  <w:r w:rsidR="0040445E" w:rsidRPr="0040445E">
                    <w:rPr>
                      <w:rFonts w:ascii="Arial" w:hAnsi="Arial" w:cs="Arial"/>
                      <w:color w:val="000000" w:themeColor="text1"/>
                      <w:sz w:val="22"/>
                      <w:szCs w:val="22"/>
                    </w:rPr>
                    <w:t xml:space="preserve"> proteins </w:t>
                  </w:r>
                  <w:r w:rsidR="00954271">
                    <w:rPr>
                      <w:rFonts w:ascii="Arial" w:hAnsi="Arial" w:cs="Arial"/>
                      <w:color w:val="000000" w:themeColor="text1"/>
                      <w:sz w:val="22"/>
                      <w:szCs w:val="22"/>
                    </w:rPr>
                    <w:t xml:space="preserve">found in members of the mononegaviral family </w:t>
                  </w:r>
                  <w:r w:rsidR="00954271" w:rsidRPr="00196215">
                    <w:rPr>
                      <w:rFonts w:ascii="Arial" w:hAnsi="Arial" w:cs="Arial"/>
                      <w:i/>
                      <w:iCs/>
                      <w:color w:val="000000" w:themeColor="text1"/>
                      <w:sz w:val="22"/>
                      <w:szCs w:val="22"/>
                    </w:rPr>
                    <w:t>Filoviridae</w:t>
                  </w:r>
                  <w:r w:rsidR="00954271">
                    <w:rPr>
                      <w:rFonts w:ascii="Arial" w:hAnsi="Arial" w:cs="Arial"/>
                      <w:color w:val="000000" w:themeColor="text1"/>
                      <w:sz w:val="22"/>
                      <w:szCs w:val="22"/>
                    </w:rPr>
                    <w:t xml:space="preserve">: </w:t>
                  </w:r>
                  <w:r w:rsidR="0040445E" w:rsidRPr="0040445E">
                    <w:rPr>
                      <w:rFonts w:ascii="Arial" w:hAnsi="Arial" w:cs="Arial"/>
                      <w:color w:val="000000" w:themeColor="text1"/>
                      <w:sz w:val="22"/>
                      <w:szCs w:val="22"/>
                    </w:rPr>
                    <w:t xml:space="preserve">nucleoprotein (NP), polymerase cofactor (VP35), </w:t>
                  </w:r>
                  <w:r w:rsidR="000A4032">
                    <w:rPr>
                      <w:rFonts w:ascii="Arial" w:hAnsi="Arial" w:cs="Arial"/>
                      <w:color w:val="000000" w:themeColor="text1"/>
                      <w:sz w:val="22"/>
                      <w:szCs w:val="22"/>
                    </w:rPr>
                    <w:t>matrix protein</w:t>
                  </w:r>
                  <w:r w:rsidR="00E8258B">
                    <w:rPr>
                      <w:rFonts w:ascii="Arial" w:hAnsi="Arial" w:cs="Arial"/>
                      <w:color w:val="000000" w:themeColor="text1"/>
                      <w:sz w:val="22"/>
                      <w:szCs w:val="22"/>
                    </w:rPr>
                    <w:t xml:space="preserve"> (VP40), </w:t>
                  </w:r>
                  <w:r w:rsidR="0040445E" w:rsidRPr="0040445E">
                    <w:rPr>
                      <w:rFonts w:ascii="Arial" w:hAnsi="Arial" w:cs="Arial"/>
                      <w:color w:val="000000" w:themeColor="text1"/>
                      <w:sz w:val="22"/>
                      <w:szCs w:val="22"/>
                    </w:rPr>
                    <w:t xml:space="preserve">glycoprotein (GP), transcriptional activator (VP30), </w:t>
                  </w:r>
                  <w:r w:rsidR="000A4032" w:rsidRPr="000A4032">
                    <w:rPr>
                      <w:rFonts w:ascii="Arial" w:hAnsi="Arial" w:cs="Arial"/>
                      <w:color w:val="000000" w:themeColor="text1"/>
                      <w:sz w:val="22"/>
                      <w:szCs w:val="22"/>
                    </w:rPr>
                    <w:t xml:space="preserve">ribonucleoprotein complex-associated protein </w:t>
                  </w:r>
                  <w:r w:rsidR="00E8258B">
                    <w:rPr>
                      <w:rFonts w:ascii="Arial" w:hAnsi="Arial" w:cs="Arial"/>
                      <w:color w:val="000000" w:themeColor="text1"/>
                      <w:sz w:val="22"/>
                      <w:szCs w:val="22"/>
                    </w:rPr>
                    <w:t xml:space="preserve">(VP24) </w:t>
                  </w:r>
                  <w:r w:rsidR="0040445E" w:rsidRPr="0040445E">
                    <w:rPr>
                      <w:rFonts w:ascii="Arial" w:hAnsi="Arial" w:cs="Arial"/>
                      <w:color w:val="000000" w:themeColor="text1"/>
                      <w:sz w:val="22"/>
                      <w:szCs w:val="22"/>
                    </w:rPr>
                    <w:t>and large protein (L) containing an RNA</w:t>
                  </w:r>
                  <w:r w:rsidR="0040445E" w:rsidRPr="0040445E">
                    <w:rPr>
                      <w:rFonts w:ascii="Arial" w:hAnsi="Arial" w:cs="Arial"/>
                      <w:color w:val="000000" w:themeColor="text1"/>
                      <w:sz w:val="22"/>
                      <w:szCs w:val="22"/>
                    </w:rPr>
                    <w:noBreakHyphen/>
                    <w:t>directed RNA polymerase (RdRp) domain</w:t>
                  </w:r>
                  <w:r w:rsidR="00503F95">
                    <w:rPr>
                      <w:rFonts w:ascii="Arial" w:hAnsi="Arial" w:cs="Arial"/>
                      <w:color w:val="000000" w:themeColor="text1"/>
                      <w:sz w:val="22"/>
                      <w:szCs w:val="22"/>
                    </w:rPr>
                    <w:t xml:space="preserve"> </w:t>
                  </w:r>
                  <w:r w:rsidR="0040445E" w:rsidRPr="0040445E">
                    <w:rPr>
                      <w:rFonts w:ascii="Arial" w:hAnsi="Arial" w:cs="Arial"/>
                      <w:color w:val="000000" w:themeColor="text1"/>
                      <w:sz w:val="22"/>
                      <w:szCs w:val="22"/>
                    </w:rPr>
                    <w:t>(</w:t>
                  </w:r>
                  <w:r w:rsidR="0040445E">
                    <w:rPr>
                      <w:rFonts w:ascii="Arial" w:hAnsi="Arial" w:cs="Arial"/>
                      <w:color w:val="000000" w:themeColor="text1"/>
                      <w:sz w:val="22"/>
                      <w:szCs w:val="22"/>
                    </w:rPr>
                    <w:t>Figure </w:t>
                  </w:r>
                  <w:r w:rsidR="0040445E" w:rsidRPr="0040445E">
                    <w:rPr>
                      <w:rFonts w:ascii="Arial" w:hAnsi="Arial" w:cs="Arial"/>
                      <w:color w:val="000000" w:themeColor="text1"/>
                      <w:sz w:val="22"/>
                      <w:szCs w:val="22"/>
                    </w:rPr>
                    <w:t>A).</w:t>
                  </w:r>
                </w:p>
                <w:p w14:paraId="3B36B284" w14:textId="77777777" w:rsidR="003523BE" w:rsidRPr="001E2866" w:rsidRDefault="003523BE" w:rsidP="0040445E">
                  <w:pPr>
                    <w:rPr>
                      <w:rFonts w:ascii="Arial" w:hAnsi="Arial" w:cs="Arial"/>
                      <w:color w:val="000000" w:themeColor="text1"/>
                      <w:sz w:val="22"/>
                      <w:szCs w:val="22"/>
                    </w:rPr>
                  </w:pPr>
                </w:p>
                <w:p w14:paraId="2B0002DE" w14:textId="0F331445" w:rsidR="003523BE" w:rsidRDefault="0040445E" w:rsidP="001E2866">
                  <w:pPr>
                    <w:rPr>
                      <w:rFonts w:ascii="Arial" w:hAnsi="Arial" w:cs="Arial"/>
                      <w:color w:val="000000" w:themeColor="text1"/>
                      <w:sz w:val="22"/>
                      <w:szCs w:val="22"/>
                    </w:rPr>
                  </w:pPr>
                  <w:r w:rsidRPr="0040445E">
                    <w:rPr>
                      <w:rFonts w:ascii="Arial" w:hAnsi="Arial" w:cs="Arial"/>
                      <w:color w:val="000000" w:themeColor="text1"/>
                      <w:sz w:val="22"/>
                      <w:szCs w:val="22"/>
                    </w:rPr>
                    <w:t xml:space="preserve">Phylogenetic comparison of the </w:t>
                  </w:r>
                  <w:r w:rsidR="003523BE">
                    <w:rPr>
                      <w:rFonts w:ascii="Arial" w:hAnsi="Arial" w:cs="Arial"/>
                      <w:color w:val="000000" w:themeColor="text1"/>
                      <w:sz w:val="22"/>
                      <w:szCs w:val="22"/>
                    </w:rPr>
                    <w:t xml:space="preserve">TAPV </w:t>
                  </w:r>
                  <w:r w:rsidRPr="0040445E">
                    <w:rPr>
                      <w:rFonts w:ascii="Arial" w:hAnsi="Arial" w:cs="Arial"/>
                      <w:i/>
                      <w:iCs/>
                      <w:color w:val="000000" w:themeColor="text1"/>
                      <w:sz w:val="22"/>
                      <w:szCs w:val="22"/>
                    </w:rPr>
                    <w:t xml:space="preserve">L </w:t>
                  </w:r>
                  <w:r w:rsidRPr="0040445E">
                    <w:rPr>
                      <w:rFonts w:ascii="Arial" w:hAnsi="Arial" w:cs="Arial"/>
                      <w:color w:val="000000" w:themeColor="text1"/>
                      <w:sz w:val="22"/>
                      <w:szCs w:val="22"/>
                    </w:rPr>
                    <w:t xml:space="preserve">gene sequences with those of representative classified viruses of the family </w:t>
                  </w:r>
                  <w:r w:rsidRPr="0040445E">
                    <w:rPr>
                      <w:rFonts w:ascii="Arial" w:hAnsi="Arial" w:cs="Arial"/>
                      <w:i/>
                      <w:color w:val="000000" w:themeColor="text1"/>
                      <w:sz w:val="22"/>
                      <w:szCs w:val="22"/>
                    </w:rPr>
                    <w:t>Filoviridae</w:t>
                  </w:r>
                  <w:r w:rsidRPr="0040445E">
                    <w:rPr>
                      <w:rFonts w:ascii="Arial" w:hAnsi="Arial" w:cs="Arial"/>
                      <w:color w:val="000000" w:themeColor="text1"/>
                      <w:sz w:val="22"/>
                      <w:szCs w:val="22"/>
                    </w:rPr>
                    <w:t xml:space="preserve"> (Figure </w:t>
                  </w:r>
                  <w:r w:rsidR="008D29CD">
                    <w:rPr>
                      <w:rFonts w:ascii="Arial" w:hAnsi="Arial" w:cs="Arial"/>
                      <w:color w:val="000000" w:themeColor="text1"/>
                      <w:sz w:val="22"/>
                      <w:szCs w:val="22"/>
                    </w:rPr>
                    <w:t>B</w:t>
                  </w:r>
                  <w:r w:rsidRPr="0040445E">
                    <w:rPr>
                      <w:rFonts w:ascii="Arial" w:hAnsi="Arial" w:cs="Arial"/>
                      <w:color w:val="000000" w:themeColor="text1"/>
                      <w:sz w:val="22"/>
                      <w:szCs w:val="22"/>
                    </w:rPr>
                    <w:t xml:space="preserve">) confirmed </w:t>
                  </w:r>
                  <w:r w:rsidR="003523BE">
                    <w:rPr>
                      <w:rFonts w:ascii="Arial" w:hAnsi="Arial" w:cs="Arial"/>
                      <w:color w:val="000000" w:themeColor="text1"/>
                      <w:sz w:val="22"/>
                      <w:szCs w:val="22"/>
                    </w:rPr>
                    <w:t xml:space="preserve">that TAPV forms a cluster with </w:t>
                  </w:r>
                  <w:r w:rsidR="003523BE" w:rsidRPr="003523BE">
                    <w:rPr>
                      <w:rFonts w:ascii="Arial" w:hAnsi="Arial" w:cs="Arial"/>
                      <w:color w:val="000000" w:themeColor="text1"/>
                      <w:sz w:val="22"/>
                      <w:szCs w:val="22"/>
                    </w:rPr>
                    <w:t xml:space="preserve">Xīlǎng virus (XILV; </w:t>
                  </w:r>
                  <w:r w:rsidR="003523BE" w:rsidRPr="0092139B">
                    <w:rPr>
                      <w:rFonts w:ascii="Arial" w:hAnsi="Arial" w:cs="Arial"/>
                      <w:i/>
                      <w:iCs/>
                      <w:color w:val="000000" w:themeColor="text1"/>
                      <w:sz w:val="22"/>
                      <w:szCs w:val="22"/>
                    </w:rPr>
                    <w:t>Filoviridae</w:t>
                  </w:r>
                  <w:r w:rsidR="003523BE" w:rsidRPr="003523BE">
                    <w:rPr>
                      <w:rFonts w:ascii="Arial" w:hAnsi="Arial" w:cs="Arial"/>
                      <w:color w:val="000000" w:themeColor="text1"/>
                      <w:sz w:val="22"/>
                      <w:szCs w:val="22"/>
                    </w:rPr>
                    <w:t xml:space="preserve">: </w:t>
                  </w:r>
                  <w:r w:rsidR="003523BE" w:rsidRPr="0092139B">
                    <w:rPr>
                      <w:rFonts w:ascii="Arial" w:hAnsi="Arial" w:cs="Arial"/>
                      <w:i/>
                      <w:iCs/>
                      <w:color w:val="000000" w:themeColor="text1"/>
                      <w:sz w:val="22"/>
                      <w:szCs w:val="22"/>
                    </w:rPr>
                    <w:t>Striavirus</w:t>
                  </w:r>
                  <w:r w:rsidR="003523BE" w:rsidRPr="003523BE">
                    <w:rPr>
                      <w:rFonts w:ascii="Arial" w:hAnsi="Arial" w:cs="Arial"/>
                      <w:color w:val="000000" w:themeColor="text1"/>
                      <w:sz w:val="22"/>
                      <w:szCs w:val="22"/>
                    </w:rPr>
                    <w:t>)</w:t>
                  </w:r>
                  <w:r w:rsidR="003523BE">
                    <w:rPr>
                      <w:rFonts w:ascii="Arial" w:hAnsi="Arial" w:cs="Arial"/>
                      <w:color w:val="000000" w:themeColor="text1"/>
                      <w:sz w:val="22"/>
                      <w:szCs w:val="22"/>
                    </w:rPr>
                    <w:t xml:space="preserve"> but </w:t>
                  </w:r>
                  <w:r w:rsidR="00462E52">
                    <w:rPr>
                      <w:rFonts w:ascii="Arial" w:hAnsi="Arial" w:cs="Arial"/>
                      <w:color w:val="000000" w:themeColor="text1"/>
                      <w:sz w:val="22"/>
                      <w:szCs w:val="22"/>
                    </w:rPr>
                    <w:t>is still distantly related to XILV.</w:t>
                  </w:r>
                </w:p>
                <w:p w14:paraId="49119148" w14:textId="2705AE7F" w:rsidR="00716D81" w:rsidRDefault="0040445E" w:rsidP="00627E31">
                  <w:pPr>
                    <w:rPr>
                      <w:rFonts w:ascii="Arial" w:hAnsi="Arial" w:cs="Arial"/>
                      <w:color w:val="000000" w:themeColor="text1"/>
                      <w:sz w:val="22"/>
                      <w:szCs w:val="22"/>
                    </w:rPr>
                  </w:pPr>
                  <w:r w:rsidRPr="0040445E">
                    <w:rPr>
                      <w:rFonts w:ascii="Arial" w:hAnsi="Arial" w:cs="Arial"/>
                      <w:color w:val="000000" w:themeColor="text1"/>
                      <w:sz w:val="22"/>
                      <w:szCs w:val="22"/>
                    </w:rPr>
                    <w:t xml:space="preserve">The current filovirus sequence-based genus and species demarcation criteria are ≥55% and ≥23% sequence divergence over </w:t>
                  </w:r>
                  <w:r w:rsidR="00954271">
                    <w:rPr>
                      <w:rFonts w:ascii="Arial" w:hAnsi="Arial" w:cs="Arial"/>
                      <w:color w:val="000000" w:themeColor="text1"/>
                      <w:sz w:val="22"/>
                      <w:szCs w:val="22"/>
                    </w:rPr>
                    <w:t>coding/near-</w:t>
                  </w:r>
                  <w:r w:rsidRPr="0040445E">
                    <w:rPr>
                      <w:rFonts w:ascii="Arial" w:hAnsi="Arial" w:cs="Arial"/>
                      <w:color w:val="000000" w:themeColor="text1"/>
                      <w:sz w:val="22"/>
                      <w:szCs w:val="22"/>
                    </w:rPr>
                    <w:t xml:space="preserve">complete genome sequences using </w:t>
                  </w:r>
                  <w:r w:rsidRPr="0040445E">
                    <w:rPr>
                      <w:rFonts w:ascii="Arial" w:hAnsi="Arial" w:cs="Arial"/>
                      <w:color w:val="000000" w:themeColor="text1"/>
                      <w:sz w:val="22"/>
                      <w:szCs w:val="22"/>
                      <w:u w:val="single"/>
                    </w:rPr>
                    <w:t>PA</w:t>
                  </w:r>
                  <w:r w:rsidRPr="0040445E">
                    <w:rPr>
                      <w:rFonts w:ascii="Arial" w:hAnsi="Arial" w:cs="Arial"/>
                      <w:color w:val="000000" w:themeColor="text1"/>
                      <w:sz w:val="22"/>
                      <w:szCs w:val="22"/>
                    </w:rPr>
                    <w:t xml:space="preserve">irwise </w:t>
                  </w:r>
                  <w:r w:rsidRPr="0040445E">
                    <w:rPr>
                      <w:rFonts w:ascii="Arial" w:hAnsi="Arial" w:cs="Arial"/>
                      <w:color w:val="000000" w:themeColor="text1"/>
                      <w:sz w:val="22"/>
                      <w:szCs w:val="22"/>
                      <w:u w:val="single"/>
                    </w:rPr>
                    <w:t>S</w:t>
                  </w:r>
                  <w:r w:rsidRPr="0040445E">
                    <w:rPr>
                      <w:rFonts w:ascii="Arial" w:hAnsi="Arial" w:cs="Arial"/>
                      <w:color w:val="000000" w:themeColor="text1"/>
                      <w:sz w:val="22"/>
                      <w:szCs w:val="22"/>
                    </w:rPr>
                    <w:t xml:space="preserve">equence </w:t>
                  </w:r>
                  <w:r w:rsidRPr="0040445E">
                    <w:rPr>
                      <w:rFonts w:ascii="Arial" w:hAnsi="Arial" w:cs="Arial"/>
                      <w:color w:val="000000" w:themeColor="text1"/>
                      <w:sz w:val="22"/>
                      <w:szCs w:val="22"/>
                      <w:u w:val="single"/>
                    </w:rPr>
                    <w:t>C</w:t>
                  </w:r>
                  <w:r w:rsidRPr="0040445E">
                    <w:rPr>
                      <w:rFonts w:ascii="Arial" w:hAnsi="Arial" w:cs="Arial"/>
                      <w:color w:val="000000" w:themeColor="text1"/>
                      <w:sz w:val="22"/>
                      <w:szCs w:val="22"/>
                    </w:rPr>
                    <w:t>omparison (PASC</w:t>
                  </w:r>
                  <w:r w:rsidRPr="007A7B29">
                    <w:rPr>
                      <w:rFonts w:ascii="Arial" w:hAnsi="Arial" w:cs="Arial"/>
                      <w:color w:val="000000" w:themeColor="text1"/>
                      <w:sz w:val="22"/>
                      <w:szCs w:val="22"/>
                    </w:rPr>
                    <w:t>)</w:t>
                  </w:r>
                  <w:r w:rsidR="00503F95" w:rsidRPr="007A7B29">
                    <w:rPr>
                      <w:rFonts w:ascii="Arial" w:hAnsi="Arial" w:cs="Arial"/>
                      <w:color w:val="000000" w:themeColor="text1"/>
                      <w:sz w:val="22"/>
                      <w:szCs w:val="22"/>
                    </w:rPr>
                    <w:t xml:space="preserve"> (3,</w:t>
                  </w:r>
                  <w:r w:rsidR="00627E31" w:rsidRPr="007A7B29">
                    <w:rPr>
                      <w:rFonts w:ascii="Arial" w:hAnsi="Arial" w:cs="Arial"/>
                      <w:color w:val="000000" w:themeColor="text1"/>
                      <w:sz w:val="22"/>
                      <w:szCs w:val="22"/>
                    </w:rPr>
                    <w:t>4</w:t>
                  </w:r>
                  <w:r w:rsidR="00503F95" w:rsidRPr="007A7B29">
                    <w:rPr>
                      <w:rFonts w:ascii="Arial" w:hAnsi="Arial" w:cs="Arial"/>
                      <w:color w:val="000000" w:themeColor="text1"/>
                      <w:sz w:val="22"/>
                      <w:szCs w:val="22"/>
                    </w:rPr>
                    <w:t>)</w:t>
                  </w:r>
                  <w:r w:rsidRPr="007A7B29">
                    <w:rPr>
                      <w:rFonts w:ascii="Arial" w:hAnsi="Arial" w:cs="Arial"/>
                      <w:color w:val="000000" w:themeColor="text1"/>
                      <w:sz w:val="22"/>
                      <w:szCs w:val="22"/>
                    </w:rPr>
                    <w:t>. We foun</w:t>
                  </w:r>
                  <w:r w:rsidRPr="0040445E">
                    <w:rPr>
                      <w:rFonts w:ascii="Arial" w:hAnsi="Arial" w:cs="Arial"/>
                      <w:color w:val="000000" w:themeColor="text1"/>
                      <w:sz w:val="22"/>
                      <w:szCs w:val="22"/>
                    </w:rPr>
                    <w:t xml:space="preserve">d a pairwise divergence of </w:t>
                  </w:r>
                  <w:r w:rsidR="00627E31">
                    <w:rPr>
                      <w:rFonts w:ascii="Arial" w:hAnsi="Arial" w:cs="Arial"/>
                      <w:color w:val="000000" w:themeColor="text1"/>
                      <w:sz w:val="22"/>
                      <w:szCs w:val="22"/>
                    </w:rPr>
                    <w:t>28.66</w:t>
                  </w:r>
                  <w:r w:rsidRPr="0040445E">
                    <w:rPr>
                      <w:rFonts w:ascii="Arial" w:hAnsi="Arial" w:cs="Arial"/>
                      <w:color w:val="000000" w:themeColor="text1"/>
                      <w:sz w:val="22"/>
                      <w:szCs w:val="22"/>
                    </w:rPr>
                    <w:t xml:space="preserve">% compared to </w:t>
                  </w:r>
                  <w:r w:rsidR="002B2330">
                    <w:rPr>
                      <w:rFonts w:ascii="Arial" w:hAnsi="Arial" w:cs="Arial"/>
                      <w:color w:val="000000" w:themeColor="text1"/>
                      <w:sz w:val="22"/>
                      <w:szCs w:val="22"/>
                    </w:rPr>
                    <w:t xml:space="preserve">the closest relative, </w:t>
                  </w:r>
                  <w:r w:rsidR="00627E31" w:rsidRPr="00627E31">
                    <w:rPr>
                      <w:rFonts w:ascii="Arial" w:hAnsi="Arial" w:cs="Arial"/>
                      <w:color w:val="000000" w:themeColor="text1"/>
                      <w:sz w:val="22"/>
                      <w:szCs w:val="22"/>
                    </w:rPr>
                    <w:t xml:space="preserve">Bombali virus (BOMV; </w:t>
                  </w:r>
                  <w:r w:rsidR="00627E31" w:rsidRPr="00627E31">
                    <w:rPr>
                      <w:rFonts w:ascii="Arial" w:hAnsi="Arial" w:cs="Arial"/>
                      <w:i/>
                      <w:iCs/>
                      <w:color w:val="000000" w:themeColor="text1"/>
                      <w:sz w:val="22"/>
                      <w:szCs w:val="22"/>
                    </w:rPr>
                    <w:t>Filoviridae</w:t>
                  </w:r>
                  <w:r w:rsidR="00627E31" w:rsidRPr="00627E31">
                    <w:rPr>
                      <w:rFonts w:ascii="Arial" w:hAnsi="Arial" w:cs="Arial"/>
                      <w:color w:val="000000" w:themeColor="text1"/>
                      <w:sz w:val="22"/>
                      <w:szCs w:val="22"/>
                    </w:rPr>
                    <w:t xml:space="preserve">: </w:t>
                  </w:r>
                  <w:r w:rsidR="00627E31" w:rsidRPr="00627E31">
                    <w:rPr>
                      <w:rFonts w:ascii="Arial" w:hAnsi="Arial" w:cs="Arial"/>
                      <w:i/>
                      <w:iCs/>
                      <w:color w:val="000000" w:themeColor="text1"/>
                      <w:sz w:val="22"/>
                      <w:szCs w:val="22"/>
                    </w:rPr>
                    <w:t>Ebolavirus</w:t>
                  </w:r>
                  <w:r w:rsidR="00627E31" w:rsidRPr="00627E31">
                    <w:rPr>
                      <w:rFonts w:ascii="Arial" w:hAnsi="Arial" w:cs="Arial"/>
                      <w:color w:val="000000" w:themeColor="text1"/>
                      <w:sz w:val="22"/>
                      <w:szCs w:val="22"/>
                    </w:rPr>
                    <w:t>)</w:t>
                  </w:r>
                  <w:r w:rsidRPr="0040445E">
                    <w:rPr>
                      <w:rFonts w:ascii="Arial" w:hAnsi="Arial" w:cs="Arial"/>
                      <w:color w:val="000000" w:themeColor="text1"/>
                      <w:sz w:val="22"/>
                      <w:szCs w:val="22"/>
                    </w:rPr>
                    <w:t xml:space="preserve">, indicating that </w:t>
                  </w:r>
                  <w:r w:rsidR="00627E31">
                    <w:rPr>
                      <w:rFonts w:ascii="Arial" w:hAnsi="Arial" w:cs="Arial"/>
                      <w:color w:val="000000" w:themeColor="text1"/>
                      <w:sz w:val="22"/>
                      <w:szCs w:val="22"/>
                    </w:rPr>
                    <w:t>TAPV</w:t>
                  </w:r>
                  <w:r w:rsidRPr="0040445E">
                    <w:rPr>
                      <w:rFonts w:ascii="Arial" w:hAnsi="Arial" w:cs="Arial"/>
                      <w:color w:val="000000" w:themeColor="text1"/>
                      <w:sz w:val="22"/>
                      <w:szCs w:val="22"/>
                    </w:rPr>
                    <w:t xml:space="preserve"> </w:t>
                  </w:r>
                  <w:r w:rsidR="002B2330">
                    <w:rPr>
                      <w:rFonts w:ascii="Arial" w:hAnsi="Arial" w:cs="Arial"/>
                      <w:color w:val="000000" w:themeColor="text1"/>
                      <w:sz w:val="22"/>
                      <w:szCs w:val="22"/>
                    </w:rPr>
                    <w:t>requires the establishment of</w:t>
                  </w:r>
                  <w:r w:rsidR="002B2330" w:rsidRPr="0040445E">
                    <w:rPr>
                      <w:rFonts w:ascii="Arial" w:hAnsi="Arial" w:cs="Arial"/>
                      <w:color w:val="000000" w:themeColor="text1"/>
                      <w:sz w:val="22"/>
                      <w:szCs w:val="22"/>
                    </w:rPr>
                    <w:t xml:space="preserve"> </w:t>
                  </w:r>
                  <w:r w:rsidRPr="0040445E">
                    <w:rPr>
                      <w:rFonts w:ascii="Arial" w:hAnsi="Arial" w:cs="Arial"/>
                      <w:color w:val="000000" w:themeColor="text1"/>
                      <w:sz w:val="22"/>
                      <w:szCs w:val="22"/>
                    </w:rPr>
                    <w:t>a new species</w:t>
                  </w:r>
                  <w:r w:rsidR="00627E31">
                    <w:rPr>
                      <w:rFonts w:ascii="Arial" w:hAnsi="Arial" w:cs="Arial"/>
                      <w:color w:val="000000" w:themeColor="text1"/>
                      <w:sz w:val="22"/>
                      <w:szCs w:val="22"/>
                    </w:rPr>
                    <w:t xml:space="preserve"> in </w:t>
                  </w:r>
                  <w:r w:rsidR="00A664F9">
                    <w:rPr>
                      <w:rFonts w:ascii="Arial" w:hAnsi="Arial" w:cs="Arial"/>
                      <w:color w:val="000000" w:themeColor="text1"/>
                      <w:sz w:val="22"/>
                      <w:szCs w:val="22"/>
                    </w:rPr>
                    <w:t>a new genus</w:t>
                  </w:r>
                  <w:r w:rsidRPr="0040445E">
                    <w:rPr>
                      <w:rFonts w:ascii="Arial" w:hAnsi="Arial" w:cs="Arial"/>
                      <w:color w:val="000000" w:themeColor="text1"/>
                      <w:sz w:val="22"/>
                      <w:szCs w:val="22"/>
                    </w:rPr>
                    <w:t>.</w:t>
                  </w:r>
                </w:p>
                <w:p w14:paraId="615E0A14" w14:textId="77777777" w:rsidR="00466B72" w:rsidRDefault="00466B72" w:rsidP="001E2866">
                  <w:pPr>
                    <w:rPr>
                      <w:rFonts w:ascii="Arial" w:hAnsi="Arial" w:cs="Arial"/>
                      <w:color w:val="000000" w:themeColor="text1"/>
                      <w:sz w:val="22"/>
                      <w:szCs w:val="22"/>
                    </w:rPr>
                  </w:pPr>
                </w:p>
                <w:p w14:paraId="334AAD1F" w14:textId="62D32689" w:rsidR="00AD25DE" w:rsidRPr="0092139B" w:rsidRDefault="0040445E" w:rsidP="0092139B">
                  <w:pPr>
                    <w:rPr>
                      <w:rFonts w:ascii="Arial" w:hAnsi="Arial" w:cs="Arial"/>
                      <w:i/>
                      <w:color w:val="000000" w:themeColor="text1"/>
                      <w:sz w:val="22"/>
                      <w:szCs w:val="22"/>
                    </w:rPr>
                  </w:pPr>
                  <w:r>
                    <w:rPr>
                      <w:rFonts w:ascii="Arial" w:hAnsi="Arial" w:cs="Arial"/>
                      <w:color w:val="000000" w:themeColor="text1"/>
                      <w:sz w:val="22"/>
                      <w:szCs w:val="22"/>
                    </w:rPr>
                    <w:t>Based on these results we propose</w:t>
                  </w:r>
                  <w:r w:rsidR="001B12F8">
                    <w:rPr>
                      <w:rFonts w:ascii="Arial" w:hAnsi="Arial" w:cs="Arial"/>
                      <w:color w:val="000000" w:themeColor="text1"/>
                      <w:sz w:val="22"/>
                      <w:szCs w:val="22"/>
                    </w:rPr>
                    <w:t xml:space="preserve"> </w:t>
                  </w:r>
                  <w:r w:rsidRPr="0092139B">
                    <w:rPr>
                      <w:rFonts w:ascii="Arial" w:hAnsi="Arial" w:cs="Arial"/>
                      <w:color w:val="000000" w:themeColor="text1"/>
                      <w:sz w:val="22"/>
                      <w:szCs w:val="22"/>
                    </w:rPr>
                    <w:t xml:space="preserve">to establish one new filovirid genus, </w:t>
                  </w:r>
                  <w:r w:rsidR="00362423" w:rsidRPr="0092139B">
                    <w:rPr>
                      <w:rFonts w:ascii="Arial" w:hAnsi="Arial" w:cs="Arial"/>
                      <w:i/>
                      <w:iCs/>
                      <w:color w:val="000000" w:themeColor="text1"/>
                      <w:sz w:val="22"/>
                      <w:szCs w:val="22"/>
                    </w:rPr>
                    <w:t>Tapjovirus</w:t>
                  </w:r>
                  <w:r w:rsidRPr="0092139B">
                    <w:rPr>
                      <w:rFonts w:ascii="Arial" w:hAnsi="Arial" w:cs="Arial"/>
                      <w:color w:val="000000" w:themeColor="text1"/>
                      <w:sz w:val="22"/>
                      <w:szCs w:val="22"/>
                    </w:rPr>
                    <w:t>, including one new species (</w:t>
                  </w:r>
                  <w:r w:rsidR="00362423" w:rsidRPr="0092139B">
                    <w:rPr>
                      <w:rFonts w:ascii="Arial" w:hAnsi="Arial" w:cs="Arial"/>
                      <w:i/>
                      <w:iCs/>
                      <w:color w:val="000000" w:themeColor="text1"/>
                      <w:sz w:val="22"/>
                      <w:szCs w:val="22"/>
                    </w:rPr>
                    <w:t>Tapjovirus</w:t>
                  </w:r>
                  <w:r w:rsidR="00362423">
                    <w:rPr>
                      <w:rFonts w:ascii="Arial" w:hAnsi="Arial" w:cs="Arial"/>
                      <w:color w:val="000000" w:themeColor="text1"/>
                      <w:sz w:val="22"/>
                      <w:szCs w:val="22"/>
                    </w:rPr>
                    <w:t xml:space="preserve"> bothrops</w:t>
                  </w:r>
                  <w:r w:rsidRPr="0092139B">
                    <w:rPr>
                      <w:rFonts w:ascii="Arial" w:hAnsi="Arial" w:cs="Arial"/>
                      <w:color w:val="000000" w:themeColor="text1"/>
                      <w:sz w:val="22"/>
                      <w:szCs w:val="22"/>
                    </w:rPr>
                    <w:t xml:space="preserve">), </w:t>
                  </w:r>
                  <w:r w:rsidR="00954271" w:rsidRPr="0092139B">
                    <w:rPr>
                      <w:rFonts w:ascii="Arial" w:hAnsi="Arial" w:cs="Arial"/>
                      <w:color w:val="000000" w:themeColor="text1"/>
                      <w:sz w:val="22"/>
                      <w:szCs w:val="22"/>
                    </w:rPr>
                    <w:t xml:space="preserve">to </w:t>
                  </w:r>
                  <w:r w:rsidRPr="0092139B">
                    <w:rPr>
                      <w:rFonts w:ascii="Arial" w:hAnsi="Arial" w:cs="Arial"/>
                      <w:color w:val="000000" w:themeColor="text1"/>
                      <w:sz w:val="22"/>
                      <w:szCs w:val="22"/>
                    </w:rPr>
                    <w:t>accommodat</w:t>
                  </w:r>
                  <w:r w:rsidR="00954271" w:rsidRPr="0092139B">
                    <w:rPr>
                      <w:rFonts w:ascii="Arial" w:hAnsi="Arial" w:cs="Arial"/>
                      <w:color w:val="000000" w:themeColor="text1"/>
                      <w:sz w:val="22"/>
                      <w:szCs w:val="22"/>
                    </w:rPr>
                    <w:t>e</w:t>
                  </w:r>
                  <w:r w:rsidRPr="0092139B">
                    <w:rPr>
                      <w:rFonts w:ascii="Arial" w:hAnsi="Arial" w:cs="Arial"/>
                      <w:color w:val="000000" w:themeColor="text1"/>
                      <w:sz w:val="22"/>
                      <w:szCs w:val="22"/>
                    </w:rPr>
                    <w:t xml:space="preserve"> </w:t>
                  </w:r>
                  <w:r w:rsidR="005F53AC" w:rsidRPr="0092139B">
                    <w:rPr>
                      <w:rFonts w:ascii="Arial" w:hAnsi="Arial" w:cs="Arial"/>
                      <w:color w:val="000000" w:themeColor="text1"/>
                      <w:sz w:val="22"/>
                      <w:szCs w:val="22"/>
                    </w:rPr>
                    <w:t>TAPV</w:t>
                  </w:r>
                  <w:r w:rsidR="00362423">
                    <w:rPr>
                      <w:rFonts w:ascii="Arial" w:hAnsi="Arial" w:cs="Arial"/>
                      <w:color w:val="000000" w:themeColor="text1"/>
                      <w:sz w:val="22"/>
                      <w:szCs w:val="22"/>
                    </w:rPr>
                    <w:t xml:space="preserve"> (see the Excel module for etymologies)</w:t>
                  </w:r>
                  <w:r w:rsidR="005F53AC" w:rsidRPr="0092139B">
                    <w:rPr>
                      <w:rFonts w:ascii="Arial" w:hAnsi="Arial" w:cs="Arial"/>
                      <w:color w:val="000000" w:themeColor="text1"/>
                      <w:sz w:val="22"/>
                      <w:szCs w:val="22"/>
                    </w:rPr>
                    <w:t>.</w:t>
                  </w:r>
                </w:p>
                <w:p w14:paraId="75ACF34C" w14:textId="77777777" w:rsidR="00C010D4" w:rsidRPr="00503F95" w:rsidRDefault="00C010D4" w:rsidP="00503F95">
                  <w:pPr>
                    <w:rPr>
                      <w:rFonts w:ascii="Arial" w:hAnsi="Arial" w:cs="Arial"/>
                      <w:color w:val="000000" w:themeColor="text1"/>
                      <w:sz w:val="22"/>
                      <w:szCs w:val="22"/>
                    </w:rPr>
                  </w:pPr>
                </w:p>
                <w:p w14:paraId="7F7EDEB5" w14:textId="77777777" w:rsidR="00466B72" w:rsidRPr="00503F95" w:rsidRDefault="00466B72" w:rsidP="00466B72">
                  <w:pPr>
                    <w:pStyle w:val="ListParagraph"/>
                    <w:rPr>
                      <w:rFonts w:ascii="Arial" w:hAnsi="Arial" w:cs="Arial"/>
                      <w:color w:val="000000" w:themeColor="text1"/>
                      <w:sz w:val="22"/>
                      <w:szCs w:val="22"/>
                    </w:rPr>
                  </w:pPr>
                </w:p>
                <w:p w14:paraId="521EED0E" w14:textId="77777777" w:rsidR="00466B72" w:rsidRDefault="00466B72" w:rsidP="00466B72">
                  <w:pPr>
                    <w:rPr>
                      <w:rFonts w:ascii="Arial" w:hAnsi="Arial" w:cs="Arial"/>
                      <w:b/>
                      <w:color w:val="000000" w:themeColor="text1"/>
                      <w:sz w:val="22"/>
                      <w:szCs w:val="22"/>
                    </w:rPr>
                  </w:pPr>
                  <w:r w:rsidRPr="00466B72">
                    <w:rPr>
                      <w:rFonts w:ascii="Arial" w:hAnsi="Arial" w:cs="Arial"/>
                      <w:b/>
                      <w:color w:val="000000" w:themeColor="text1"/>
                      <w:sz w:val="22"/>
                      <w:szCs w:val="22"/>
                    </w:rPr>
                    <w:t>Supporting information</w:t>
                  </w:r>
                </w:p>
                <w:p w14:paraId="4AFC0710" w14:textId="77777777" w:rsidR="00466B72" w:rsidRDefault="00466B72" w:rsidP="00466B72">
                  <w:pPr>
                    <w:rPr>
                      <w:rFonts w:ascii="Arial" w:hAnsi="Arial" w:cs="Arial"/>
                      <w:b/>
                      <w:color w:val="000000" w:themeColor="text1"/>
                      <w:sz w:val="22"/>
                      <w:szCs w:val="22"/>
                    </w:rPr>
                  </w:pPr>
                </w:p>
                <w:p w14:paraId="55851538" w14:textId="77777777"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t xml:space="preserve">Figure </w:t>
                  </w:r>
                </w:p>
                <w:p w14:paraId="293788AC" w14:textId="77777777" w:rsidR="00466B72" w:rsidRDefault="00466B72" w:rsidP="00466B72">
                  <w:pPr>
                    <w:rPr>
                      <w:rFonts w:ascii="Arial" w:hAnsi="Arial" w:cs="Arial"/>
                      <w:b/>
                      <w:color w:val="000000" w:themeColor="text1"/>
                      <w:sz w:val="22"/>
                      <w:szCs w:val="22"/>
                    </w:rPr>
                  </w:pPr>
                </w:p>
                <w:p w14:paraId="4F7543FC" w14:textId="04739167"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t>A</w:t>
                  </w:r>
                </w:p>
                <w:p w14:paraId="74F5ED5F" w14:textId="35E8B4F5" w:rsidR="00466B72" w:rsidRDefault="00466B72" w:rsidP="00466B72">
                  <w:pPr>
                    <w:rPr>
                      <w:rFonts w:ascii="Arial" w:hAnsi="Arial" w:cs="Arial"/>
                      <w:b/>
                      <w:color w:val="000000" w:themeColor="text1"/>
                      <w:sz w:val="22"/>
                      <w:szCs w:val="22"/>
                    </w:rPr>
                  </w:pPr>
                </w:p>
                <w:p w14:paraId="3B72E389" w14:textId="4649A109" w:rsidR="00466B72" w:rsidRDefault="00D07C3E" w:rsidP="00466B72">
                  <w:pPr>
                    <w:rPr>
                      <w:rFonts w:ascii="Arial" w:hAnsi="Arial" w:cs="Arial"/>
                      <w:b/>
                      <w:color w:val="000000" w:themeColor="text1"/>
                      <w:sz w:val="22"/>
                      <w:szCs w:val="22"/>
                    </w:rPr>
                  </w:pPr>
                  <w:r w:rsidRPr="00D07C3E">
                    <w:rPr>
                      <w:rFonts w:ascii="Arial" w:hAnsi="Arial" w:cs="Arial"/>
                      <w:b/>
                      <w:noProof/>
                      <w:color w:val="000000" w:themeColor="text1"/>
                      <w:sz w:val="22"/>
                      <w:szCs w:val="22"/>
                    </w:rPr>
                    <w:drawing>
                      <wp:inline distT="0" distB="0" distL="0" distR="0" wp14:anchorId="11B3B9ED" wp14:editId="36F082E7">
                        <wp:extent cx="5731510" cy="1032510"/>
                        <wp:effectExtent l="0" t="0" r="0" b="0"/>
                        <wp:docPr id="12" name="グラフィックス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5731510" cy="1032510"/>
                                </a:xfrm>
                                <a:prstGeom prst="rect">
                                  <a:avLst/>
                                </a:prstGeom>
                              </pic:spPr>
                            </pic:pic>
                          </a:graphicData>
                        </a:graphic>
                      </wp:inline>
                    </w:drawing>
                  </w:r>
                </w:p>
                <w:p w14:paraId="011D01FB" w14:textId="50E1BB25" w:rsidR="00466B72" w:rsidRDefault="00466B72" w:rsidP="00466B72">
                  <w:pPr>
                    <w:rPr>
                      <w:rFonts w:ascii="Arial" w:hAnsi="Arial" w:cs="Arial"/>
                      <w:b/>
                      <w:color w:val="000000" w:themeColor="text1"/>
                      <w:sz w:val="22"/>
                      <w:szCs w:val="22"/>
                    </w:rPr>
                  </w:pPr>
                </w:p>
                <w:p w14:paraId="7ED566C9" w14:textId="00301A01"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lastRenderedPageBreak/>
                    <w:t>B</w:t>
                  </w:r>
                </w:p>
                <w:p w14:paraId="50624D56" w14:textId="663DC631" w:rsidR="00466B72" w:rsidRDefault="00466B72" w:rsidP="00466B72">
                  <w:pPr>
                    <w:rPr>
                      <w:rFonts w:ascii="Arial" w:hAnsi="Arial" w:cs="Arial"/>
                      <w:b/>
                      <w:color w:val="000000" w:themeColor="text1"/>
                      <w:sz w:val="22"/>
                      <w:szCs w:val="22"/>
                    </w:rPr>
                  </w:pPr>
                </w:p>
                <w:p w14:paraId="6AE927E1" w14:textId="56882FFE" w:rsidR="00466B72" w:rsidRDefault="005B04DC" w:rsidP="00466B72">
                  <w:pPr>
                    <w:rPr>
                      <w:rFonts w:ascii="Arial" w:hAnsi="Arial" w:cs="Arial"/>
                      <w:b/>
                      <w:color w:val="000000" w:themeColor="text1"/>
                      <w:sz w:val="22"/>
                      <w:szCs w:val="22"/>
                    </w:rPr>
                  </w:pPr>
                  <w:r w:rsidRPr="005B04DC">
                    <w:rPr>
                      <w:rFonts w:ascii="Arial" w:hAnsi="Arial" w:cs="Arial"/>
                      <w:b/>
                      <w:noProof/>
                      <w:color w:val="000000" w:themeColor="text1"/>
                      <w:sz w:val="22"/>
                      <w:szCs w:val="22"/>
                    </w:rPr>
                    <w:drawing>
                      <wp:inline distT="0" distB="0" distL="0" distR="0" wp14:anchorId="41A60EA5" wp14:editId="1A8CB4F3">
                        <wp:extent cx="5731510" cy="2494915"/>
                        <wp:effectExtent l="0" t="0" r="0" b="0"/>
                        <wp:docPr id="10" name="グラフィックス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5731510" cy="2494915"/>
                                </a:xfrm>
                                <a:prstGeom prst="rect">
                                  <a:avLst/>
                                </a:prstGeom>
                              </pic:spPr>
                            </pic:pic>
                          </a:graphicData>
                        </a:graphic>
                      </wp:inline>
                    </w:drawing>
                  </w:r>
                </w:p>
                <w:p w14:paraId="65917C70" w14:textId="6942329E" w:rsidR="00466B72" w:rsidRPr="00466B72" w:rsidRDefault="00466B72" w:rsidP="00466B72">
                  <w:pPr>
                    <w:rPr>
                      <w:rFonts w:ascii="Arial" w:hAnsi="Arial" w:cs="Arial"/>
                      <w:b/>
                      <w:color w:val="000000" w:themeColor="text1"/>
                      <w:sz w:val="22"/>
                      <w:szCs w:val="22"/>
                    </w:rPr>
                  </w:pPr>
                </w:p>
              </w:tc>
            </w:tr>
          </w:tbl>
          <w:p w14:paraId="09E79DFD" w14:textId="77777777" w:rsidR="00A174CC" w:rsidRDefault="00A174CC">
            <w:pPr>
              <w:rPr>
                <w:rFonts w:ascii="Arial" w:hAnsi="Arial" w:cs="Arial"/>
                <w:color w:val="0000FF"/>
                <w:sz w:val="20"/>
              </w:rPr>
            </w:pPr>
          </w:p>
        </w:tc>
      </w:tr>
    </w:tbl>
    <w:p w14:paraId="33157153" w14:textId="43458212" w:rsidR="00466B72" w:rsidRDefault="00466B72" w:rsidP="00466B72">
      <w:pPr>
        <w:pStyle w:val="BodyTextIndent"/>
        <w:spacing w:before="120" w:after="120"/>
        <w:ind w:left="0" w:firstLine="0"/>
        <w:rPr>
          <w:rFonts w:ascii="Arial" w:hAnsi="Arial" w:cs="Arial"/>
          <w:color w:val="000000"/>
          <w:szCs w:val="24"/>
        </w:rPr>
      </w:pPr>
      <w:r>
        <w:rPr>
          <w:rFonts w:ascii="Arial" w:hAnsi="Arial" w:cs="Arial"/>
          <w:b/>
          <w:color w:val="000000"/>
          <w:szCs w:val="24"/>
        </w:rPr>
        <w:lastRenderedPageBreak/>
        <w:t xml:space="preserve">Figure: </w:t>
      </w:r>
      <w:r w:rsidR="007D28A6">
        <w:rPr>
          <w:rFonts w:ascii="Arial" w:hAnsi="Arial" w:cs="Arial"/>
          <w:b/>
          <w:color w:val="000000"/>
          <w:szCs w:val="24"/>
        </w:rPr>
        <w:t>A</w:t>
      </w:r>
      <w:r w:rsidRPr="00466B72">
        <w:rPr>
          <w:rFonts w:ascii="Arial" w:hAnsi="Arial" w:cs="Arial"/>
          <w:b/>
          <w:color w:val="000000"/>
          <w:szCs w:val="24"/>
        </w:rPr>
        <w:t xml:space="preserve"> novel filovir</w:t>
      </w:r>
      <w:r w:rsidR="001B12F8">
        <w:rPr>
          <w:rFonts w:ascii="Arial" w:hAnsi="Arial" w:cs="Arial"/>
          <w:b/>
          <w:color w:val="000000"/>
          <w:szCs w:val="24"/>
        </w:rPr>
        <w:t>id</w:t>
      </w:r>
      <w:r w:rsidRPr="00466B72">
        <w:rPr>
          <w:rFonts w:ascii="Arial" w:hAnsi="Arial" w:cs="Arial"/>
          <w:b/>
          <w:color w:val="000000"/>
          <w:szCs w:val="24"/>
        </w:rPr>
        <w:t xml:space="preserve"> in</w:t>
      </w:r>
      <w:r w:rsidR="007D28A6">
        <w:rPr>
          <w:rFonts w:ascii="Arial" w:hAnsi="Arial" w:cs="Arial"/>
          <w:b/>
          <w:color w:val="000000"/>
          <w:szCs w:val="24"/>
        </w:rPr>
        <w:t xml:space="preserve"> </w:t>
      </w:r>
      <w:r w:rsidR="001B12F8">
        <w:rPr>
          <w:rFonts w:ascii="Arial" w:hAnsi="Arial" w:cs="Arial"/>
          <w:b/>
          <w:color w:val="000000"/>
          <w:szCs w:val="24"/>
        </w:rPr>
        <w:t xml:space="preserve">a </w:t>
      </w:r>
      <w:r w:rsidR="007D28A6" w:rsidRPr="007D28A6">
        <w:rPr>
          <w:rFonts w:ascii="Arial" w:hAnsi="Arial" w:cs="Arial"/>
          <w:b/>
          <w:color w:val="000000"/>
          <w:szCs w:val="24"/>
        </w:rPr>
        <w:t>common lancehead</w:t>
      </w:r>
      <w:r>
        <w:rPr>
          <w:rFonts w:ascii="Arial" w:hAnsi="Arial" w:cs="Arial"/>
          <w:b/>
          <w:color w:val="000000"/>
          <w:szCs w:val="24"/>
        </w:rPr>
        <w:t>.</w:t>
      </w:r>
      <w:r w:rsidRPr="00C760B6">
        <w:rPr>
          <w:rFonts w:ascii="Arial" w:hAnsi="Arial" w:cs="Arial"/>
          <w:b/>
          <w:bCs/>
          <w:color w:val="000000"/>
          <w:szCs w:val="24"/>
        </w:rPr>
        <w:t xml:space="preserve"> A) </w:t>
      </w:r>
      <w:r w:rsidRPr="00466B72">
        <w:rPr>
          <w:rFonts w:ascii="Arial" w:hAnsi="Arial" w:cs="Arial"/>
          <w:color w:val="000000"/>
          <w:szCs w:val="24"/>
        </w:rPr>
        <w:t xml:space="preserve">Schematic representation </w:t>
      </w:r>
      <w:r w:rsidR="001B12F8">
        <w:rPr>
          <w:rFonts w:ascii="Arial" w:hAnsi="Arial" w:cs="Arial"/>
          <w:color w:val="000000"/>
          <w:szCs w:val="24"/>
        </w:rPr>
        <w:t xml:space="preserve">of </w:t>
      </w:r>
      <w:r w:rsidRPr="00466B72">
        <w:rPr>
          <w:rFonts w:ascii="Arial" w:hAnsi="Arial" w:cs="Arial"/>
          <w:color w:val="000000"/>
          <w:szCs w:val="24"/>
        </w:rPr>
        <w:t>the genome organization of</w:t>
      </w:r>
      <w:r w:rsidR="00AA78AD">
        <w:rPr>
          <w:rFonts w:ascii="Arial" w:hAnsi="Arial" w:cs="Arial"/>
          <w:color w:val="000000"/>
          <w:szCs w:val="24"/>
        </w:rPr>
        <w:t xml:space="preserve"> </w:t>
      </w:r>
      <w:r w:rsidR="00AA78AD" w:rsidRPr="00AA78AD">
        <w:rPr>
          <w:rFonts w:ascii="Arial" w:hAnsi="Arial" w:cs="Arial"/>
          <w:color w:val="000000"/>
          <w:szCs w:val="24"/>
        </w:rPr>
        <w:t>Tapajós virus (TAPV)</w:t>
      </w:r>
      <w:r w:rsidR="00200FBF">
        <w:rPr>
          <w:rFonts w:ascii="Arial" w:hAnsi="Arial" w:cs="Arial"/>
          <w:color w:val="000000"/>
          <w:szCs w:val="24"/>
        </w:rPr>
        <w:t xml:space="preserve"> </w:t>
      </w:r>
      <w:r w:rsidR="00ED592D">
        <w:rPr>
          <w:rFonts w:ascii="Arial" w:hAnsi="Arial" w:cs="Arial"/>
          <w:color w:val="000000"/>
          <w:szCs w:val="24"/>
        </w:rPr>
        <w:t>compared to</w:t>
      </w:r>
      <w:r w:rsidR="00DF6878">
        <w:rPr>
          <w:rFonts w:ascii="Arial" w:hAnsi="Arial" w:cs="Arial"/>
          <w:color w:val="000000"/>
          <w:szCs w:val="24"/>
        </w:rPr>
        <w:t xml:space="preserve"> </w:t>
      </w:r>
      <w:r w:rsidR="00DF6878" w:rsidRPr="00DF6878">
        <w:rPr>
          <w:rFonts w:ascii="Arial" w:hAnsi="Arial" w:cs="Arial"/>
          <w:color w:val="000000"/>
          <w:szCs w:val="24"/>
        </w:rPr>
        <w:t>Bombali virus (BOMV</w:t>
      </w:r>
      <w:r w:rsidR="001B12F8">
        <w:rPr>
          <w:rFonts w:ascii="Arial" w:hAnsi="Arial" w:cs="Arial"/>
          <w:color w:val="000000"/>
          <w:szCs w:val="24"/>
        </w:rPr>
        <w:t xml:space="preserve">, genus </w:t>
      </w:r>
      <w:r w:rsidR="001B12F8" w:rsidRPr="0092139B">
        <w:rPr>
          <w:rFonts w:ascii="Arial" w:hAnsi="Arial" w:cs="Arial"/>
          <w:i/>
          <w:iCs/>
          <w:color w:val="000000"/>
          <w:szCs w:val="24"/>
        </w:rPr>
        <w:t>Ebolavirus</w:t>
      </w:r>
      <w:r w:rsidR="00DF6878" w:rsidRPr="00DF6878">
        <w:rPr>
          <w:rFonts w:ascii="Arial" w:hAnsi="Arial" w:cs="Arial"/>
          <w:color w:val="000000"/>
          <w:szCs w:val="24"/>
        </w:rPr>
        <w:t>)</w:t>
      </w:r>
      <w:r w:rsidR="00DF6878">
        <w:rPr>
          <w:rFonts w:ascii="Arial" w:hAnsi="Arial" w:cs="Arial"/>
          <w:color w:val="000000"/>
          <w:szCs w:val="24"/>
        </w:rPr>
        <w:t xml:space="preserve">, </w:t>
      </w:r>
      <w:r w:rsidR="00DF6878" w:rsidRPr="00DF6878">
        <w:rPr>
          <w:rFonts w:ascii="Arial" w:hAnsi="Arial" w:cs="Arial"/>
          <w:color w:val="000000"/>
          <w:szCs w:val="24"/>
        </w:rPr>
        <w:t>Marburg virus (MARV</w:t>
      </w:r>
      <w:r w:rsidR="001B12F8">
        <w:rPr>
          <w:rFonts w:ascii="Arial" w:hAnsi="Arial" w:cs="Arial"/>
          <w:color w:val="000000"/>
          <w:szCs w:val="24"/>
        </w:rPr>
        <w:t xml:space="preserve">, genus </w:t>
      </w:r>
      <w:r w:rsidR="001B12F8" w:rsidRPr="0092139B">
        <w:rPr>
          <w:rFonts w:ascii="Arial" w:hAnsi="Arial" w:cs="Arial"/>
          <w:i/>
          <w:iCs/>
          <w:color w:val="000000"/>
          <w:szCs w:val="24"/>
        </w:rPr>
        <w:t>Marburgvirus</w:t>
      </w:r>
      <w:r w:rsidR="00DF6878" w:rsidRPr="00DF6878">
        <w:rPr>
          <w:rFonts w:ascii="Arial" w:hAnsi="Arial" w:cs="Arial"/>
          <w:color w:val="000000"/>
          <w:szCs w:val="24"/>
        </w:rPr>
        <w:t>)</w:t>
      </w:r>
      <w:r w:rsidR="00DF6878">
        <w:rPr>
          <w:rFonts w:ascii="Arial" w:hAnsi="Arial" w:cs="Arial"/>
          <w:color w:val="000000"/>
          <w:szCs w:val="24"/>
        </w:rPr>
        <w:t xml:space="preserve">, and </w:t>
      </w:r>
      <w:r w:rsidR="00DF6878" w:rsidRPr="00DF6878">
        <w:rPr>
          <w:rFonts w:ascii="Arial" w:hAnsi="Arial" w:cs="Arial"/>
          <w:color w:val="000000"/>
          <w:szCs w:val="24"/>
        </w:rPr>
        <w:t>Xīlǎng virus (XILV</w:t>
      </w:r>
      <w:r w:rsidR="001B12F8">
        <w:rPr>
          <w:rFonts w:ascii="Arial" w:hAnsi="Arial" w:cs="Arial"/>
          <w:color w:val="000000"/>
          <w:szCs w:val="24"/>
        </w:rPr>
        <w:t xml:space="preserve">, genus </w:t>
      </w:r>
      <w:r w:rsidR="001B12F8" w:rsidRPr="0092139B">
        <w:rPr>
          <w:rFonts w:ascii="Arial" w:hAnsi="Arial" w:cs="Arial"/>
          <w:i/>
          <w:iCs/>
          <w:color w:val="000000"/>
          <w:szCs w:val="24"/>
        </w:rPr>
        <w:t>Striavirus</w:t>
      </w:r>
      <w:r w:rsidR="00DF6878" w:rsidRPr="00DF6878">
        <w:rPr>
          <w:rFonts w:ascii="Arial" w:hAnsi="Arial" w:cs="Arial"/>
          <w:color w:val="000000"/>
          <w:szCs w:val="24"/>
        </w:rPr>
        <w:t>)</w:t>
      </w:r>
      <w:r w:rsidRPr="00466B72">
        <w:rPr>
          <w:rFonts w:ascii="Arial" w:hAnsi="Arial" w:cs="Arial"/>
          <w:color w:val="000000"/>
          <w:szCs w:val="24"/>
        </w:rPr>
        <w:t xml:space="preserve">: Open reading frames (ORFs) are indicated as colored arrows. </w:t>
      </w:r>
      <w:r w:rsidRPr="00E24123">
        <w:rPr>
          <w:rFonts w:ascii="Arial" w:hAnsi="Arial" w:cs="Arial"/>
          <w:color w:val="000000"/>
          <w:szCs w:val="24"/>
        </w:rPr>
        <w:t xml:space="preserve">ORFs encoding </w:t>
      </w:r>
      <w:r w:rsidR="00E24123" w:rsidRPr="00E24123">
        <w:rPr>
          <w:rFonts w:ascii="Arial" w:hAnsi="Arial" w:cs="Arial"/>
          <w:color w:val="000000"/>
          <w:szCs w:val="24"/>
        </w:rPr>
        <w:t>BOMV</w:t>
      </w:r>
      <w:r w:rsidRPr="00E24123">
        <w:rPr>
          <w:rFonts w:ascii="Arial" w:hAnsi="Arial" w:cs="Arial"/>
          <w:color w:val="000000"/>
          <w:szCs w:val="24"/>
        </w:rPr>
        <w:t>-like proteins are depicted by the same color.</w:t>
      </w:r>
      <w:r w:rsidRPr="00466B72">
        <w:rPr>
          <w:rFonts w:ascii="Arial" w:hAnsi="Arial" w:cs="Arial"/>
          <w:color w:val="000000"/>
          <w:szCs w:val="24"/>
        </w:rPr>
        <w:t xml:space="preserve"> NP, nucleoprotein gene; VP35, polymerase cofactor gene; </w:t>
      </w:r>
      <w:r w:rsidR="00041E58">
        <w:rPr>
          <w:rFonts w:ascii="Arial" w:hAnsi="Arial" w:cs="Arial"/>
          <w:color w:val="000000"/>
          <w:szCs w:val="24"/>
        </w:rPr>
        <w:t xml:space="preserve">VP40 </w:t>
      </w:r>
      <w:r w:rsidR="00425E04">
        <w:rPr>
          <w:rFonts w:ascii="Arial" w:hAnsi="Arial" w:cs="Arial"/>
          <w:color w:val="000000"/>
          <w:szCs w:val="24"/>
        </w:rPr>
        <w:t>matrix protein gene</w:t>
      </w:r>
      <w:r w:rsidR="00041E58">
        <w:rPr>
          <w:rFonts w:ascii="Arial" w:hAnsi="Arial" w:cs="Arial"/>
          <w:color w:val="000000"/>
          <w:szCs w:val="24"/>
        </w:rPr>
        <w:t xml:space="preserve">; </w:t>
      </w:r>
      <w:r w:rsidRPr="00466B72">
        <w:rPr>
          <w:rFonts w:ascii="Arial" w:hAnsi="Arial" w:cs="Arial"/>
          <w:color w:val="000000"/>
          <w:szCs w:val="24"/>
        </w:rPr>
        <w:t xml:space="preserve">GP, glycoprotein gene; VP30, transcriptional activator gene; </w:t>
      </w:r>
      <w:r w:rsidR="00041E58">
        <w:rPr>
          <w:rFonts w:ascii="Arial" w:hAnsi="Arial" w:cs="Arial"/>
          <w:color w:val="000000"/>
          <w:szCs w:val="24"/>
        </w:rPr>
        <w:t xml:space="preserve">VP24, </w:t>
      </w:r>
      <w:r w:rsidR="00425E04" w:rsidRPr="00425E04">
        <w:rPr>
          <w:rFonts w:ascii="Arial" w:hAnsi="Arial" w:cs="Arial"/>
          <w:color w:val="000000"/>
          <w:szCs w:val="24"/>
        </w:rPr>
        <w:t>ribonucleoprotein complex-associated protein</w:t>
      </w:r>
      <w:r w:rsidR="00425E04">
        <w:rPr>
          <w:rFonts w:ascii="Arial" w:hAnsi="Arial" w:cs="Arial"/>
          <w:color w:val="000000"/>
          <w:szCs w:val="24"/>
        </w:rPr>
        <w:t xml:space="preserve"> gene</w:t>
      </w:r>
      <w:r w:rsidR="00041E58">
        <w:rPr>
          <w:rFonts w:ascii="Arial" w:hAnsi="Arial" w:cs="Arial"/>
          <w:color w:val="000000"/>
          <w:szCs w:val="24"/>
        </w:rPr>
        <w:t xml:space="preserve">; </w:t>
      </w:r>
      <w:r w:rsidRPr="00466B72">
        <w:rPr>
          <w:rFonts w:ascii="Arial" w:hAnsi="Arial" w:cs="Arial"/>
          <w:color w:val="000000"/>
          <w:szCs w:val="24"/>
        </w:rPr>
        <w:t xml:space="preserve">L, large protein gene. </w:t>
      </w:r>
      <w:r w:rsidRPr="00C760B6">
        <w:rPr>
          <w:rFonts w:ascii="Arial" w:hAnsi="Arial" w:cs="Arial"/>
          <w:b/>
          <w:bCs/>
          <w:color w:val="000000"/>
          <w:szCs w:val="24"/>
        </w:rPr>
        <w:t xml:space="preserve">B) </w:t>
      </w:r>
      <w:r w:rsidRPr="00466B72">
        <w:rPr>
          <w:rFonts w:ascii="Arial" w:hAnsi="Arial" w:cs="Arial"/>
          <w:color w:val="000000"/>
          <w:szCs w:val="24"/>
        </w:rPr>
        <w:t>A maximum likelihood phylogenetic tree of filovirus L gene sequences</w:t>
      </w:r>
      <w:r w:rsidR="001B12F8">
        <w:rPr>
          <w:rFonts w:ascii="Arial" w:hAnsi="Arial" w:cs="Arial"/>
          <w:color w:val="000000"/>
          <w:szCs w:val="24"/>
        </w:rPr>
        <w:t xml:space="preserve">, including TAPV </w:t>
      </w:r>
      <w:r w:rsidR="001B12F8" w:rsidRPr="00466B72">
        <w:rPr>
          <w:rFonts w:ascii="Arial" w:hAnsi="Arial" w:cs="Arial"/>
          <w:color w:val="000000"/>
          <w:szCs w:val="24"/>
        </w:rPr>
        <w:t>(bold blue)</w:t>
      </w:r>
      <w:r w:rsidRPr="00466B72">
        <w:rPr>
          <w:rFonts w:ascii="Arial" w:hAnsi="Arial" w:cs="Arial"/>
          <w:color w:val="000000"/>
          <w:szCs w:val="24"/>
        </w:rPr>
        <w:t>. Numbers near nodes on the trees indicate bootstrap values. Branches are labeled by GenBank accession number, virus name, and virus name abbreviation in parenthesis. The scale (bottom left) indicates the number of substitutions per site, reflected by the branch lengths.</w:t>
      </w:r>
    </w:p>
    <w:p w14:paraId="083038E2" w14:textId="77777777" w:rsidR="00466B72" w:rsidRDefault="00466B72" w:rsidP="00466B72">
      <w:pPr>
        <w:pStyle w:val="BodyTextIndent"/>
        <w:spacing w:before="120" w:after="120"/>
        <w:ind w:left="0" w:firstLine="0"/>
        <w:rPr>
          <w:rFonts w:ascii="Arial" w:hAnsi="Arial" w:cs="Arial"/>
          <w:b/>
          <w:color w:val="000000"/>
          <w:szCs w:val="24"/>
        </w:rPr>
      </w:pPr>
    </w:p>
    <w:p w14:paraId="1DEFF7BD" w14:textId="19FFDF8F" w:rsidR="00466B72" w:rsidRDefault="00466B72" w:rsidP="00466B72">
      <w:pPr>
        <w:pStyle w:val="BodyTextIndent"/>
        <w:spacing w:before="120" w:after="120"/>
        <w:ind w:left="0" w:firstLine="0"/>
        <w:rPr>
          <w:rFonts w:ascii="Arial" w:hAnsi="Arial" w:cs="Arial"/>
          <w:b/>
          <w:color w:val="000000"/>
          <w:szCs w:val="24"/>
        </w:rPr>
      </w:pPr>
      <w:r w:rsidRPr="00466B72">
        <w:rPr>
          <w:rFonts w:ascii="Arial" w:hAnsi="Arial" w:cs="Arial"/>
          <w:b/>
          <w:color w:val="000000"/>
          <w:szCs w:val="24"/>
        </w:rPr>
        <w:t xml:space="preserve">Table </w:t>
      </w:r>
    </w:p>
    <w:p w14:paraId="0AE3194D" w14:textId="60219CE2" w:rsidR="00466B72" w:rsidRPr="00466B72" w:rsidRDefault="00466B72" w:rsidP="00466B72">
      <w:pPr>
        <w:pStyle w:val="BodyTextIndent"/>
        <w:spacing w:before="120" w:after="120"/>
        <w:ind w:left="0" w:firstLine="0"/>
        <w:rPr>
          <w:rFonts w:ascii="Arial" w:hAnsi="Arial" w:cs="Arial"/>
          <w:color w:val="000000"/>
          <w:szCs w:val="24"/>
        </w:rPr>
      </w:pPr>
      <w:r w:rsidRPr="00466B72">
        <w:rPr>
          <w:rFonts w:ascii="Arial" w:hAnsi="Arial" w:cs="Arial"/>
          <w:color w:val="000000"/>
        </w:rPr>
        <w:t xml:space="preserve">Pairwise distances of complete or coding-complete genome nucleotide sequences between the newly identified </w:t>
      </w:r>
      <w:r w:rsidR="00DC23C5" w:rsidRPr="00AA78AD">
        <w:rPr>
          <w:rFonts w:ascii="Arial" w:hAnsi="Arial" w:cs="Arial"/>
          <w:color w:val="000000"/>
          <w:szCs w:val="24"/>
        </w:rPr>
        <w:t>Tapajós virus (TAPV)</w:t>
      </w:r>
      <w:r w:rsidRPr="005A66BC">
        <w:rPr>
          <w:rFonts w:ascii="Arial" w:hAnsi="Arial" w:cs="Arial"/>
          <w:color w:val="000000"/>
        </w:rPr>
        <w:t>, Bombali virus (BOMV, GenBank #MK340750)</w:t>
      </w:r>
      <w:r w:rsidR="00F71300" w:rsidRPr="005A66BC">
        <w:rPr>
          <w:rFonts w:ascii="Arial" w:hAnsi="Arial" w:cs="Arial"/>
          <w:color w:val="000000"/>
        </w:rPr>
        <w:t>, Xīlǎng virus (XILV, GenBank #MG5</w:t>
      </w:r>
      <w:r w:rsidR="00F71300">
        <w:rPr>
          <w:rFonts w:ascii="Arial" w:hAnsi="Arial" w:cs="Arial"/>
          <w:color w:val="000000"/>
        </w:rPr>
        <w:t xml:space="preserve">99980), and </w:t>
      </w:r>
      <w:r w:rsidR="00F71300" w:rsidRPr="00F71300">
        <w:rPr>
          <w:rFonts w:ascii="Arial" w:hAnsi="Arial" w:cs="Arial"/>
          <w:color w:val="000000"/>
        </w:rPr>
        <w:t>Huángjiāo virus (HUJV</w:t>
      </w:r>
      <w:r w:rsidR="001B12F8">
        <w:rPr>
          <w:rFonts w:ascii="Arial" w:hAnsi="Arial" w:cs="Arial"/>
          <w:color w:val="000000"/>
        </w:rPr>
        <w:t xml:space="preserve">; genus </w:t>
      </w:r>
      <w:r w:rsidR="001B12F8" w:rsidRPr="0092139B">
        <w:rPr>
          <w:rFonts w:ascii="Arial" w:hAnsi="Arial" w:cs="Arial"/>
          <w:i/>
          <w:iCs/>
          <w:color w:val="000000"/>
        </w:rPr>
        <w:t>Thamnovirus</w:t>
      </w:r>
      <w:r w:rsidR="00F71300">
        <w:rPr>
          <w:rFonts w:ascii="Arial" w:hAnsi="Arial" w:cs="Arial"/>
          <w:color w:val="000000"/>
        </w:rPr>
        <w:t>, GenBank #</w:t>
      </w:r>
      <w:r w:rsidR="00F71300" w:rsidRPr="00F71300">
        <w:rPr>
          <w:rFonts w:ascii="Arial" w:hAnsi="Arial" w:cs="Arial"/>
          <w:color w:val="000000"/>
        </w:rPr>
        <w:t xml:space="preserve"> </w:t>
      </w:r>
      <w:r w:rsidR="00F71300">
        <w:rPr>
          <w:rFonts w:ascii="Arial" w:hAnsi="Arial" w:cs="Arial"/>
          <w:color w:val="000000"/>
        </w:rPr>
        <w:t>MG599981)</w:t>
      </w:r>
      <w:r w:rsidRPr="00466B72">
        <w:rPr>
          <w:rFonts w:ascii="Arial" w:hAnsi="Arial" w:cs="Arial"/>
          <w:color w:val="000000"/>
        </w:rPr>
        <w:t xml:space="preserve">. </w:t>
      </w:r>
    </w:p>
    <w:tbl>
      <w:tblPr>
        <w:tblW w:w="2791" w:type="dxa"/>
        <w:tblBorders>
          <w:top w:val="single" w:sz="4" w:space="0" w:color="auto"/>
          <w:bottom w:val="single" w:sz="4" w:space="0" w:color="auto"/>
        </w:tblBorders>
        <w:tblLayout w:type="fixed"/>
        <w:tblLook w:val="04A0" w:firstRow="1" w:lastRow="0" w:firstColumn="1" w:lastColumn="0" w:noHBand="0" w:noVBand="1"/>
      </w:tblPr>
      <w:tblGrid>
        <w:gridCol w:w="1536"/>
        <w:gridCol w:w="1255"/>
      </w:tblGrid>
      <w:tr w:rsidR="008B0A90" w:rsidRPr="00466B72" w14:paraId="3034064F" w14:textId="43E65C93" w:rsidTr="008B0A90">
        <w:trPr>
          <w:trHeight w:val="712"/>
        </w:trPr>
        <w:tc>
          <w:tcPr>
            <w:tcW w:w="1536" w:type="dxa"/>
            <w:tcBorders>
              <w:top w:val="single" w:sz="4" w:space="0" w:color="auto"/>
              <w:bottom w:val="single" w:sz="4" w:space="0" w:color="auto"/>
            </w:tcBorders>
          </w:tcPr>
          <w:p w14:paraId="454E4F60" w14:textId="77777777" w:rsidR="008B0A90" w:rsidRPr="00466B72" w:rsidRDefault="008B0A90" w:rsidP="00466B72">
            <w:pPr>
              <w:pStyle w:val="BodyTextIndent"/>
              <w:spacing w:before="120" w:after="120"/>
              <w:rPr>
                <w:rFonts w:ascii="Arial" w:hAnsi="Arial" w:cs="Arial"/>
                <w:b/>
                <w:color w:val="000000"/>
              </w:rPr>
            </w:pPr>
            <w:r w:rsidRPr="00466B72">
              <w:rPr>
                <w:rFonts w:ascii="Arial" w:hAnsi="Arial" w:cs="Arial"/>
                <w:b/>
                <w:color w:val="000000"/>
              </w:rPr>
              <w:t xml:space="preserve">Virus </w:t>
            </w:r>
          </w:p>
        </w:tc>
        <w:tc>
          <w:tcPr>
            <w:tcW w:w="1255" w:type="dxa"/>
            <w:tcBorders>
              <w:top w:val="single" w:sz="4" w:space="0" w:color="auto"/>
              <w:bottom w:val="single" w:sz="4" w:space="0" w:color="auto"/>
            </w:tcBorders>
          </w:tcPr>
          <w:p w14:paraId="6847FCC0" w14:textId="3E3EB447" w:rsidR="008B0A90" w:rsidRPr="00466B72" w:rsidRDefault="008B0A90" w:rsidP="00466B72">
            <w:pPr>
              <w:pStyle w:val="BodyTextIndent"/>
              <w:spacing w:before="120" w:after="120"/>
              <w:rPr>
                <w:rFonts w:ascii="Arial" w:hAnsi="Arial" w:cs="Arial"/>
                <w:b/>
                <w:color w:val="000000"/>
              </w:rPr>
            </w:pPr>
            <w:r>
              <w:rPr>
                <w:rFonts w:ascii="Arial" w:hAnsi="Arial" w:cs="Arial"/>
                <w:b/>
                <w:color w:val="000000"/>
              </w:rPr>
              <w:t>TAPV</w:t>
            </w:r>
          </w:p>
        </w:tc>
      </w:tr>
      <w:tr w:rsidR="008B0A90" w:rsidRPr="00466B72" w14:paraId="7DA413DE" w14:textId="283A48FC" w:rsidTr="008B0A90">
        <w:trPr>
          <w:trHeight w:val="649"/>
        </w:trPr>
        <w:tc>
          <w:tcPr>
            <w:tcW w:w="1536" w:type="dxa"/>
          </w:tcPr>
          <w:p w14:paraId="56E2BF38" w14:textId="48A03C68" w:rsidR="008B0A90" w:rsidRPr="00466B72" w:rsidRDefault="008B0A90" w:rsidP="00466B72">
            <w:pPr>
              <w:pStyle w:val="BodyTextIndent"/>
              <w:spacing w:before="120" w:after="120"/>
              <w:rPr>
                <w:rFonts w:ascii="Arial" w:hAnsi="Arial" w:cs="Arial"/>
                <w:b/>
                <w:color w:val="000000"/>
              </w:rPr>
            </w:pPr>
            <w:r>
              <w:rPr>
                <w:rFonts w:ascii="Arial" w:hAnsi="Arial" w:cs="Arial"/>
                <w:b/>
                <w:color w:val="000000"/>
              </w:rPr>
              <w:t>BOMV</w:t>
            </w:r>
          </w:p>
        </w:tc>
        <w:tc>
          <w:tcPr>
            <w:tcW w:w="1255" w:type="dxa"/>
          </w:tcPr>
          <w:p w14:paraId="53CE9BDD" w14:textId="18F62DC6" w:rsidR="008B0A90" w:rsidRPr="00466B72" w:rsidRDefault="000E0ED9" w:rsidP="00466B72">
            <w:pPr>
              <w:pStyle w:val="BodyTextIndent"/>
              <w:spacing w:before="120" w:after="120"/>
              <w:rPr>
                <w:rFonts w:ascii="Arial" w:hAnsi="Arial" w:cs="Arial"/>
                <w:b/>
                <w:color w:val="000000"/>
              </w:rPr>
            </w:pPr>
            <w:r>
              <w:rPr>
                <w:rFonts w:ascii="Arial" w:hAnsi="Arial" w:cs="Arial"/>
                <w:b/>
                <w:color w:val="000000"/>
              </w:rPr>
              <w:t>71</w:t>
            </w:r>
            <w:r w:rsidR="008B0A90" w:rsidRPr="00466B72">
              <w:rPr>
                <w:rFonts w:ascii="Arial" w:hAnsi="Arial" w:cs="Arial"/>
                <w:b/>
                <w:color w:val="000000"/>
              </w:rPr>
              <w:t>%</w:t>
            </w:r>
          </w:p>
        </w:tc>
      </w:tr>
      <w:tr w:rsidR="008B0A90" w:rsidRPr="00466B72" w14:paraId="53AE2C0C" w14:textId="516A1EA8" w:rsidTr="008B0A90">
        <w:trPr>
          <w:trHeight w:val="649"/>
        </w:trPr>
        <w:tc>
          <w:tcPr>
            <w:tcW w:w="1536" w:type="dxa"/>
          </w:tcPr>
          <w:p w14:paraId="1A9B2329" w14:textId="313478A6" w:rsidR="008B0A90" w:rsidRPr="00466B72" w:rsidRDefault="00F71300" w:rsidP="00466B72">
            <w:pPr>
              <w:pStyle w:val="BodyTextIndent"/>
              <w:spacing w:before="120" w:after="120"/>
              <w:rPr>
                <w:rFonts w:ascii="Arial" w:hAnsi="Arial" w:cs="Arial"/>
                <w:b/>
                <w:color w:val="000000"/>
              </w:rPr>
            </w:pPr>
            <w:r>
              <w:rPr>
                <w:rFonts w:ascii="Arial" w:hAnsi="Arial" w:cs="Arial"/>
                <w:b/>
                <w:color w:val="000000"/>
              </w:rPr>
              <w:t>XILV</w:t>
            </w:r>
          </w:p>
        </w:tc>
        <w:tc>
          <w:tcPr>
            <w:tcW w:w="1255" w:type="dxa"/>
          </w:tcPr>
          <w:p w14:paraId="4CA0AAF2" w14:textId="285C8E6D" w:rsidR="008B0A90" w:rsidRPr="00466B72" w:rsidRDefault="000E0ED9" w:rsidP="00466B72">
            <w:pPr>
              <w:pStyle w:val="BodyTextIndent"/>
              <w:spacing w:before="120" w:after="120"/>
              <w:rPr>
                <w:rFonts w:ascii="Arial" w:hAnsi="Arial" w:cs="Arial"/>
                <w:b/>
                <w:color w:val="000000"/>
              </w:rPr>
            </w:pPr>
            <w:r>
              <w:rPr>
                <w:rFonts w:ascii="Arial" w:hAnsi="Arial" w:cs="Arial"/>
                <w:b/>
                <w:color w:val="000000"/>
              </w:rPr>
              <w:t>74</w:t>
            </w:r>
            <w:r w:rsidR="008B0A90" w:rsidRPr="00466B72">
              <w:rPr>
                <w:rFonts w:ascii="Arial" w:hAnsi="Arial" w:cs="Arial"/>
                <w:b/>
                <w:color w:val="000000"/>
              </w:rPr>
              <w:t>%</w:t>
            </w:r>
          </w:p>
        </w:tc>
      </w:tr>
      <w:tr w:rsidR="008B0A90" w:rsidRPr="00466B72" w14:paraId="15D01803" w14:textId="46A152EC" w:rsidTr="008B0A90">
        <w:trPr>
          <w:trHeight w:val="649"/>
        </w:trPr>
        <w:tc>
          <w:tcPr>
            <w:tcW w:w="1536" w:type="dxa"/>
          </w:tcPr>
          <w:p w14:paraId="5BDCA186" w14:textId="5F02D2BE" w:rsidR="008B0A90" w:rsidRPr="00466B72" w:rsidRDefault="00F71300" w:rsidP="00466B72">
            <w:pPr>
              <w:pStyle w:val="BodyTextIndent"/>
              <w:spacing w:before="120" w:after="120"/>
              <w:rPr>
                <w:rFonts w:ascii="Arial" w:hAnsi="Arial" w:cs="Arial"/>
                <w:b/>
                <w:color w:val="000000"/>
              </w:rPr>
            </w:pPr>
            <w:r>
              <w:rPr>
                <w:rFonts w:ascii="Arial" w:hAnsi="Arial" w:cs="Arial"/>
                <w:b/>
                <w:color w:val="000000"/>
              </w:rPr>
              <w:t>HUJV</w:t>
            </w:r>
          </w:p>
        </w:tc>
        <w:tc>
          <w:tcPr>
            <w:tcW w:w="1255" w:type="dxa"/>
          </w:tcPr>
          <w:p w14:paraId="3A2D715D" w14:textId="54A0FC55" w:rsidR="008B0A90" w:rsidRPr="00466B72" w:rsidRDefault="000E0ED9" w:rsidP="00466B72">
            <w:pPr>
              <w:pStyle w:val="BodyTextIndent"/>
              <w:spacing w:before="120" w:after="120"/>
              <w:rPr>
                <w:rFonts w:ascii="Arial" w:hAnsi="Arial" w:cs="Arial"/>
                <w:b/>
                <w:color w:val="000000"/>
              </w:rPr>
            </w:pPr>
            <w:r>
              <w:rPr>
                <w:rFonts w:ascii="Arial" w:hAnsi="Arial" w:cs="Arial"/>
                <w:b/>
                <w:color w:val="000000"/>
              </w:rPr>
              <w:t>78</w:t>
            </w:r>
            <w:r w:rsidR="008B0A90" w:rsidRPr="00466B72">
              <w:rPr>
                <w:rFonts w:ascii="Arial" w:hAnsi="Arial" w:cs="Arial"/>
                <w:b/>
                <w:color w:val="000000"/>
              </w:rPr>
              <w:t>%</w:t>
            </w:r>
          </w:p>
        </w:tc>
      </w:tr>
    </w:tbl>
    <w:p w14:paraId="5374E9DF" w14:textId="3CE1E97B" w:rsidR="00D277E6" w:rsidRDefault="00D277E6" w:rsidP="00196215">
      <w:pPr>
        <w:pStyle w:val="BodyTextIndent"/>
        <w:spacing w:before="120" w:after="120"/>
        <w:ind w:left="0" w:firstLine="0"/>
        <w:rPr>
          <w:rFonts w:ascii="Arial" w:hAnsi="Arial" w:cs="Arial"/>
          <w:sz w:val="22"/>
          <w:szCs w:val="22"/>
          <w:lang w:val="en-GB"/>
        </w:rPr>
      </w:pPr>
    </w:p>
    <w:p w14:paraId="074E0276" w14:textId="77777777" w:rsidR="001B12F8" w:rsidRDefault="001B12F8" w:rsidP="001B12F8">
      <w:pPr>
        <w:rPr>
          <w:rFonts w:ascii="Arial" w:hAnsi="Arial" w:cs="Arial"/>
          <w:i/>
          <w:color w:val="000000" w:themeColor="text1"/>
          <w:sz w:val="22"/>
          <w:szCs w:val="22"/>
        </w:rPr>
      </w:pPr>
      <w:r w:rsidRPr="00503F95">
        <w:rPr>
          <w:rFonts w:ascii="Arial" w:hAnsi="Arial" w:cs="Arial"/>
          <w:b/>
          <w:color w:val="000000" w:themeColor="text1"/>
          <w:sz w:val="22"/>
          <w:szCs w:val="22"/>
        </w:rPr>
        <w:lastRenderedPageBreak/>
        <w:t>References</w:t>
      </w:r>
      <w:r>
        <w:rPr>
          <w:rFonts w:ascii="Arial" w:hAnsi="Arial" w:cs="Arial"/>
          <w:i/>
          <w:color w:val="000000" w:themeColor="text1"/>
          <w:sz w:val="22"/>
          <w:szCs w:val="22"/>
        </w:rPr>
        <w:t>:</w:t>
      </w:r>
    </w:p>
    <w:p w14:paraId="56C10BB5" w14:textId="77777777" w:rsidR="001B12F8" w:rsidRDefault="001B12F8" w:rsidP="001B12F8">
      <w:pPr>
        <w:rPr>
          <w:rFonts w:ascii="Arial" w:hAnsi="Arial" w:cs="Arial"/>
          <w:i/>
          <w:color w:val="000000" w:themeColor="text1"/>
          <w:sz w:val="22"/>
          <w:szCs w:val="22"/>
        </w:rPr>
      </w:pPr>
    </w:p>
    <w:p w14:paraId="46EB0A5A" w14:textId="77777777" w:rsidR="001B12F8" w:rsidRDefault="001B12F8" w:rsidP="001B12F8">
      <w:pPr>
        <w:pStyle w:val="ListParagraph"/>
        <w:numPr>
          <w:ilvl w:val="0"/>
          <w:numId w:val="6"/>
        </w:numPr>
        <w:rPr>
          <w:rFonts w:ascii="Arial" w:hAnsi="Arial" w:cs="Arial"/>
          <w:color w:val="000000" w:themeColor="text1"/>
          <w:sz w:val="22"/>
          <w:szCs w:val="22"/>
        </w:rPr>
      </w:pPr>
      <w:r>
        <w:rPr>
          <w:rFonts w:ascii="Arial" w:eastAsia="Yu Mincho" w:hAnsi="Arial" w:cs="Arial" w:hint="eastAsia"/>
          <w:color w:val="000000" w:themeColor="text1"/>
          <w:sz w:val="22"/>
          <w:szCs w:val="22"/>
          <w:lang w:eastAsia="ja-JP"/>
        </w:rPr>
        <w:t>H</w:t>
      </w:r>
      <w:r>
        <w:rPr>
          <w:rFonts w:ascii="Arial" w:eastAsia="Yu Mincho" w:hAnsi="Arial" w:cs="Arial"/>
          <w:color w:val="000000" w:themeColor="text1"/>
          <w:sz w:val="22"/>
          <w:szCs w:val="22"/>
          <w:lang w:eastAsia="ja-JP"/>
        </w:rPr>
        <w:t xml:space="preserve">orie M. </w:t>
      </w:r>
      <w:r w:rsidRPr="002A06EB">
        <w:rPr>
          <w:rFonts w:ascii="Arial" w:eastAsia="Yu Mincho" w:hAnsi="Arial" w:cs="Arial"/>
          <w:color w:val="000000" w:themeColor="text1"/>
          <w:sz w:val="22"/>
          <w:szCs w:val="22"/>
          <w:lang w:eastAsia="ja-JP"/>
        </w:rPr>
        <w:t>Identification of a novel filovirus in a common lancehead (</w:t>
      </w:r>
      <w:r w:rsidRPr="002F27D9">
        <w:rPr>
          <w:rFonts w:ascii="Arial" w:eastAsia="Yu Mincho" w:hAnsi="Arial" w:cs="Arial"/>
          <w:i/>
          <w:iCs/>
          <w:color w:val="000000" w:themeColor="text1"/>
          <w:sz w:val="22"/>
          <w:szCs w:val="22"/>
          <w:lang w:eastAsia="ja-JP"/>
        </w:rPr>
        <w:t xml:space="preserve">Bothrops atrox </w:t>
      </w:r>
      <w:r w:rsidRPr="002A06EB">
        <w:rPr>
          <w:rFonts w:ascii="Arial" w:eastAsia="Yu Mincho" w:hAnsi="Arial" w:cs="Arial"/>
          <w:color w:val="000000" w:themeColor="text1"/>
          <w:sz w:val="22"/>
          <w:szCs w:val="22"/>
          <w:lang w:eastAsia="ja-JP"/>
        </w:rPr>
        <w:t>Linnaeus, 1758)</w:t>
      </w:r>
      <w:r>
        <w:rPr>
          <w:rFonts w:ascii="Arial" w:eastAsia="Yu Mincho" w:hAnsi="Arial" w:cs="Arial"/>
          <w:color w:val="000000" w:themeColor="text1"/>
          <w:sz w:val="22"/>
          <w:szCs w:val="22"/>
          <w:lang w:eastAsia="ja-JP"/>
        </w:rPr>
        <w:t>. Submitted.</w:t>
      </w:r>
    </w:p>
    <w:p w14:paraId="41F8F23E" w14:textId="0C7459F6" w:rsidR="001B12F8" w:rsidRPr="006F6E09" w:rsidRDefault="001B12F8" w:rsidP="006F6E09">
      <w:pPr>
        <w:pStyle w:val="ListParagraph"/>
        <w:numPr>
          <w:ilvl w:val="0"/>
          <w:numId w:val="6"/>
        </w:numPr>
        <w:rPr>
          <w:rFonts w:ascii="Arial" w:hAnsi="Arial" w:cs="Arial"/>
          <w:color w:val="000000" w:themeColor="text1"/>
          <w:sz w:val="22"/>
          <w:szCs w:val="22"/>
          <w:lang w:val="en-AU"/>
        </w:rPr>
      </w:pPr>
      <w:r w:rsidRPr="00092198">
        <w:rPr>
          <w:rFonts w:ascii="Arial" w:hAnsi="Arial" w:cs="Arial"/>
          <w:color w:val="000000" w:themeColor="text1"/>
          <w:sz w:val="22"/>
          <w:szCs w:val="22"/>
        </w:rPr>
        <w:t xml:space="preserve">Freitas-de-Sousa, L. A., Amazonas, D. R., Sousa, L. F., Sant'Anna, S. S., Nishiyama, M. Y., Jr., </w:t>
      </w:r>
      <w:r>
        <w:rPr>
          <w:rFonts w:ascii="Arial" w:hAnsi="Arial" w:cs="Arial"/>
          <w:color w:val="000000" w:themeColor="text1"/>
          <w:sz w:val="22"/>
          <w:szCs w:val="22"/>
        </w:rPr>
        <w:t>et al</w:t>
      </w:r>
      <w:r w:rsidRPr="00092198">
        <w:rPr>
          <w:rFonts w:ascii="Arial" w:hAnsi="Arial" w:cs="Arial"/>
          <w:color w:val="000000" w:themeColor="text1"/>
          <w:sz w:val="22"/>
          <w:szCs w:val="22"/>
        </w:rPr>
        <w:t>. Comparison of venoms from wild and long-term captive Bothrops atrox snakes and characterization of Batroxrhagin, the predominant class PIII metalloproteinase from the venom of this species. Biochimie</w:t>
      </w:r>
      <w:r>
        <w:rPr>
          <w:rFonts w:ascii="Arial" w:hAnsi="Arial" w:cs="Arial"/>
          <w:color w:val="000000" w:themeColor="text1"/>
          <w:sz w:val="22"/>
          <w:szCs w:val="22"/>
        </w:rPr>
        <w:t>.</w:t>
      </w:r>
      <w:r w:rsidRPr="00092198">
        <w:rPr>
          <w:rFonts w:ascii="Arial" w:hAnsi="Arial" w:cs="Arial"/>
          <w:color w:val="000000" w:themeColor="text1"/>
          <w:sz w:val="22"/>
          <w:szCs w:val="22"/>
        </w:rPr>
        <w:t xml:space="preserve"> 2015. 118: 60-70.</w:t>
      </w:r>
      <w:r w:rsidR="006F6E09">
        <w:rPr>
          <w:rFonts w:ascii="Arial" w:hAnsi="Arial" w:cs="Arial"/>
          <w:color w:val="000000" w:themeColor="text1"/>
          <w:sz w:val="22"/>
          <w:szCs w:val="22"/>
        </w:rPr>
        <w:t xml:space="preserve"> </w:t>
      </w:r>
      <w:r w:rsidR="006F6E09" w:rsidRPr="006F6E09">
        <w:rPr>
          <w:rFonts w:ascii="Arial" w:hAnsi="Arial" w:cs="Arial"/>
          <w:color w:val="000000" w:themeColor="text1"/>
          <w:sz w:val="22"/>
          <w:szCs w:val="22"/>
          <w:lang w:val="en-AU"/>
        </w:rPr>
        <w:t>PMID: 26276061</w:t>
      </w:r>
      <w:r w:rsidR="006F6E09">
        <w:rPr>
          <w:rFonts w:ascii="Arial" w:hAnsi="Arial" w:cs="Arial"/>
          <w:color w:val="000000" w:themeColor="text1"/>
          <w:sz w:val="22"/>
          <w:szCs w:val="22"/>
          <w:lang w:val="en-AU"/>
        </w:rPr>
        <w:t xml:space="preserve"> </w:t>
      </w:r>
      <w:r w:rsidR="006F6E09" w:rsidRPr="006F6E09">
        <w:rPr>
          <w:rFonts w:ascii="Arial" w:hAnsi="Arial" w:cs="Arial"/>
          <w:color w:val="000000" w:themeColor="text1"/>
          <w:sz w:val="22"/>
          <w:szCs w:val="22"/>
          <w:lang w:val="en-AU"/>
        </w:rPr>
        <w:t>DOI: 10.1016/j.biochi.2015.08.006</w:t>
      </w:r>
    </w:p>
    <w:p w14:paraId="0671FC4F" w14:textId="0EC76853" w:rsidR="001B12F8" w:rsidRPr="00503F95" w:rsidRDefault="001B12F8" w:rsidP="001B12F8">
      <w:pPr>
        <w:pStyle w:val="ListParagraph"/>
        <w:numPr>
          <w:ilvl w:val="0"/>
          <w:numId w:val="6"/>
        </w:numPr>
        <w:rPr>
          <w:rFonts w:ascii="Arial" w:hAnsi="Arial" w:cs="Arial"/>
          <w:color w:val="000000" w:themeColor="text1"/>
          <w:sz w:val="22"/>
          <w:szCs w:val="22"/>
        </w:rPr>
      </w:pPr>
      <w:r w:rsidRPr="00503F95">
        <w:rPr>
          <w:rFonts w:ascii="Arial" w:hAnsi="Arial" w:cs="Arial"/>
          <w:color w:val="000000" w:themeColor="text1"/>
          <w:sz w:val="22"/>
          <w:szCs w:val="22"/>
        </w:rPr>
        <w:t xml:space="preserve">Kuhn JH, Amarasinghe GK, Basler CF, Bavari S, Bukreyev A, Chandran K, et al. ICTV virus taxonomy profile: </w:t>
      </w:r>
      <w:r w:rsidRPr="00196215">
        <w:rPr>
          <w:rFonts w:ascii="Arial" w:hAnsi="Arial" w:cs="Arial"/>
          <w:i/>
          <w:iCs/>
          <w:color w:val="000000" w:themeColor="text1"/>
          <w:sz w:val="22"/>
          <w:szCs w:val="22"/>
        </w:rPr>
        <w:t>Filoviridae</w:t>
      </w:r>
      <w:r w:rsidRPr="00503F95">
        <w:rPr>
          <w:rFonts w:ascii="Arial" w:hAnsi="Arial" w:cs="Arial"/>
          <w:color w:val="000000" w:themeColor="text1"/>
          <w:sz w:val="22"/>
          <w:szCs w:val="22"/>
        </w:rPr>
        <w:t>. J Gen Virol. 2019 Jun;100(6):911-2.</w:t>
      </w:r>
      <w:r w:rsidR="006F6E09">
        <w:rPr>
          <w:rFonts w:ascii="Arial" w:hAnsi="Arial" w:cs="Arial"/>
          <w:color w:val="000000" w:themeColor="text1"/>
          <w:sz w:val="22"/>
          <w:szCs w:val="22"/>
        </w:rPr>
        <w:t xml:space="preserve"> </w:t>
      </w:r>
      <w:r w:rsidR="006F6E09" w:rsidRPr="006F6E09">
        <w:rPr>
          <w:rFonts w:ascii="Arial" w:hAnsi="Arial" w:cs="Arial"/>
          <w:color w:val="000000" w:themeColor="text1"/>
          <w:sz w:val="22"/>
          <w:szCs w:val="22"/>
        </w:rPr>
        <w:t>PMID: 31021739  DOI: 10.1099/jgv.0.001252</w:t>
      </w:r>
    </w:p>
    <w:p w14:paraId="5EEF04F3" w14:textId="70B86240" w:rsidR="006F6E09" w:rsidRPr="006F6E09" w:rsidRDefault="001B12F8" w:rsidP="006F6E09">
      <w:pPr>
        <w:pStyle w:val="ListParagraph"/>
        <w:numPr>
          <w:ilvl w:val="0"/>
          <w:numId w:val="6"/>
        </w:numPr>
        <w:rPr>
          <w:rFonts w:ascii="Arial" w:hAnsi="Arial" w:cs="Arial"/>
          <w:color w:val="000000" w:themeColor="text1"/>
          <w:sz w:val="22"/>
          <w:szCs w:val="22"/>
          <w:lang w:val="en-AU"/>
        </w:rPr>
      </w:pPr>
      <w:r w:rsidRPr="00503F95">
        <w:rPr>
          <w:rFonts w:ascii="Arial" w:hAnsi="Arial" w:cs="Arial"/>
          <w:color w:val="000000" w:themeColor="text1"/>
          <w:sz w:val="22"/>
          <w:szCs w:val="22"/>
        </w:rPr>
        <w:t>Bào Y, Amarasinghe GK, Basler CF, Bavari S, Bukreyev A, Chandran K, et al. Implementation of objective PASC-derived taxon demarcation criteria for official classification of filoviruses. Viruses. 2017 May 11;9(5):106.</w:t>
      </w:r>
      <w:r w:rsidR="006F6E09">
        <w:rPr>
          <w:rFonts w:ascii="Arial" w:hAnsi="Arial" w:cs="Arial"/>
          <w:color w:val="000000" w:themeColor="text1"/>
          <w:sz w:val="22"/>
          <w:szCs w:val="22"/>
        </w:rPr>
        <w:t xml:space="preserve"> </w:t>
      </w:r>
      <w:r w:rsidR="006F6E09" w:rsidRPr="006F6E09">
        <w:rPr>
          <w:rFonts w:ascii="Arial" w:hAnsi="Arial" w:cs="Arial"/>
          <w:color w:val="000000" w:themeColor="text1"/>
          <w:sz w:val="22"/>
          <w:szCs w:val="22"/>
          <w:lang w:val="en-AU"/>
        </w:rPr>
        <w:t>PMID: 28492506</w:t>
      </w:r>
      <w:r w:rsidR="006F6E09">
        <w:rPr>
          <w:rFonts w:ascii="Arial" w:hAnsi="Arial" w:cs="Arial"/>
          <w:color w:val="000000" w:themeColor="text1"/>
          <w:sz w:val="22"/>
          <w:szCs w:val="22"/>
          <w:lang w:val="en-AU"/>
        </w:rPr>
        <w:t xml:space="preserve"> </w:t>
      </w:r>
      <w:r w:rsidR="006F6E09" w:rsidRPr="006F6E09">
        <w:rPr>
          <w:rFonts w:ascii="Arial" w:hAnsi="Arial" w:cs="Arial"/>
          <w:color w:val="000000" w:themeColor="text1"/>
          <w:sz w:val="22"/>
          <w:szCs w:val="22"/>
          <w:lang w:val="en-AU"/>
        </w:rPr>
        <w:t>DOI: 10.3390/v9050106</w:t>
      </w:r>
    </w:p>
    <w:p w14:paraId="5DE9169F" w14:textId="129DD771" w:rsidR="001B12F8" w:rsidRPr="00503F95" w:rsidRDefault="001B12F8" w:rsidP="006F6E09">
      <w:pPr>
        <w:pStyle w:val="ListParagraph"/>
        <w:rPr>
          <w:rFonts w:ascii="Arial" w:hAnsi="Arial" w:cs="Arial"/>
          <w:color w:val="000000" w:themeColor="text1"/>
          <w:sz w:val="22"/>
          <w:szCs w:val="22"/>
        </w:rPr>
      </w:pPr>
    </w:p>
    <w:p w14:paraId="5215CD3E" w14:textId="77777777" w:rsidR="001B12F8" w:rsidRDefault="001B12F8" w:rsidP="001B12F8">
      <w:pPr>
        <w:rPr>
          <w:rFonts w:ascii="Arial" w:hAnsi="Arial" w:cs="Arial"/>
          <w:color w:val="000000" w:themeColor="text1"/>
          <w:sz w:val="22"/>
          <w:szCs w:val="22"/>
        </w:rPr>
      </w:pPr>
    </w:p>
    <w:p w14:paraId="296FAA8D" w14:textId="77777777" w:rsidR="001B12F8" w:rsidRDefault="001B12F8" w:rsidP="001B12F8">
      <w:pPr>
        <w:rPr>
          <w:rFonts w:ascii="Arial" w:hAnsi="Arial" w:cs="Arial"/>
          <w:color w:val="000000" w:themeColor="text1"/>
          <w:sz w:val="22"/>
          <w:szCs w:val="22"/>
        </w:rPr>
      </w:pPr>
    </w:p>
    <w:p w14:paraId="3BEEB3B2" w14:textId="77777777" w:rsidR="001B12F8" w:rsidRDefault="001B12F8" w:rsidP="001B12F8">
      <w:pPr>
        <w:rPr>
          <w:rFonts w:ascii="Arial" w:hAnsi="Arial" w:cs="Arial"/>
          <w:color w:val="000000" w:themeColor="text1"/>
          <w:sz w:val="22"/>
          <w:szCs w:val="22"/>
        </w:rPr>
      </w:pPr>
    </w:p>
    <w:p w14:paraId="4F7090A6" w14:textId="77777777" w:rsidR="001B12F8" w:rsidRDefault="001B12F8" w:rsidP="001B12F8">
      <w:pPr>
        <w:rPr>
          <w:rFonts w:ascii="Arial" w:hAnsi="Arial" w:cs="Arial"/>
          <w:color w:val="000000" w:themeColor="text1"/>
          <w:sz w:val="22"/>
          <w:szCs w:val="22"/>
        </w:rPr>
      </w:pPr>
    </w:p>
    <w:p w14:paraId="2C6A1A1B" w14:textId="77777777" w:rsidR="001B12F8" w:rsidRDefault="001B12F8" w:rsidP="001B12F8">
      <w:pPr>
        <w:rPr>
          <w:rFonts w:ascii="Arial" w:hAnsi="Arial" w:cs="Arial"/>
          <w:color w:val="000000" w:themeColor="text1"/>
          <w:sz w:val="22"/>
          <w:szCs w:val="22"/>
        </w:rPr>
      </w:pPr>
    </w:p>
    <w:p w14:paraId="41C6EBB9" w14:textId="77777777" w:rsidR="001B12F8" w:rsidRPr="00FB7B91" w:rsidRDefault="001B12F8" w:rsidP="00196215">
      <w:pPr>
        <w:pStyle w:val="BodyTextIndent"/>
        <w:spacing w:before="120" w:after="120"/>
        <w:ind w:left="0" w:firstLine="0"/>
        <w:rPr>
          <w:rFonts w:ascii="Arial" w:hAnsi="Arial" w:cs="Arial"/>
          <w:sz w:val="22"/>
          <w:szCs w:val="22"/>
          <w:lang w:val="en-GB"/>
        </w:rPr>
      </w:pPr>
    </w:p>
    <w:sectPr w:rsidR="001B12F8" w:rsidRPr="00FB7B91">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84639" w14:textId="77777777" w:rsidR="00992C92" w:rsidRDefault="00992C92">
      <w:r>
        <w:separator/>
      </w:r>
    </w:p>
  </w:endnote>
  <w:endnote w:type="continuationSeparator" w:id="0">
    <w:p w14:paraId="524F4758" w14:textId="77777777" w:rsidR="00992C92" w:rsidRDefault="0099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BAFBD" w14:textId="77777777" w:rsidR="00992C92" w:rsidRDefault="00992C92">
      <w:r>
        <w:separator/>
      </w:r>
    </w:p>
  </w:footnote>
  <w:footnote w:type="continuationSeparator" w:id="0">
    <w:p w14:paraId="2E948228" w14:textId="77777777" w:rsidR="00992C92" w:rsidRDefault="0099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2ADFE9C" w:rsidR="00A174CC" w:rsidRDefault="00196215">
    <w:pPr>
      <w:pStyle w:val="Header"/>
      <w:jc w:val="right"/>
    </w:pPr>
    <w:r>
      <w:t>October</w:t>
    </w:r>
    <w:r w:rsidR="00503F95">
      <w:t xml:space="preserve"> 202</w:t>
    </w:r>
    <w:r>
      <w:t>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37ABC"/>
    <w:multiLevelType w:val="hybridMultilevel"/>
    <w:tmpl w:val="AA2606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27E074CC"/>
    <w:multiLevelType w:val="hybridMultilevel"/>
    <w:tmpl w:val="F97A7B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574F272A"/>
    <w:multiLevelType w:val="hybridMultilevel"/>
    <w:tmpl w:val="EF285A9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B7D1A64"/>
    <w:multiLevelType w:val="multilevel"/>
    <w:tmpl w:val="42CA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4352B1"/>
    <w:multiLevelType w:val="hybridMultilevel"/>
    <w:tmpl w:val="3C2CCFEA"/>
    <w:lvl w:ilvl="0" w:tplc="0724627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162C5B"/>
    <w:multiLevelType w:val="multilevel"/>
    <w:tmpl w:val="B240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73C04C3"/>
    <w:multiLevelType w:val="hybridMultilevel"/>
    <w:tmpl w:val="6180003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8"/>
  </w:num>
  <w:num w:numId="3">
    <w:abstractNumId w:val="6"/>
  </w:num>
  <w:num w:numId="4">
    <w:abstractNumId w:val="4"/>
  </w:num>
  <w:num w:numId="5">
    <w:abstractNumId w:val="0"/>
  </w:num>
  <w:num w:numId="6">
    <w:abstractNumId w:val="9"/>
  </w:num>
  <w:num w:numId="7">
    <w:abstractNumId w:val="7"/>
  </w:num>
  <w:num w:numId="8">
    <w:abstractNumId w:val="5"/>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bordersDoNotSurroundHeader/>
  <w:bordersDoNotSurroundFooter/>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03DB5"/>
    <w:rsid w:val="00030D0A"/>
    <w:rsid w:val="00032A8D"/>
    <w:rsid w:val="00041E58"/>
    <w:rsid w:val="00092198"/>
    <w:rsid w:val="00093889"/>
    <w:rsid w:val="000A1260"/>
    <w:rsid w:val="000A4032"/>
    <w:rsid w:val="000A5502"/>
    <w:rsid w:val="000E0ED9"/>
    <w:rsid w:val="00121448"/>
    <w:rsid w:val="00144494"/>
    <w:rsid w:val="00146EE8"/>
    <w:rsid w:val="00196215"/>
    <w:rsid w:val="001B12F8"/>
    <w:rsid w:val="001E2866"/>
    <w:rsid w:val="00200FBF"/>
    <w:rsid w:val="002140D4"/>
    <w:rsid w:val="0025317A"/>
    <w:rsid w:val="002551DA"/>
    <w:rsid w:val="00256531"/>
    <w:rsid w:val="00260321"/>
    <w:rsid w:val="002A06EB"/>
    <w:rsid w:val="002B2330"/>
    <w:rsid w:val="002F27D9"/>
    <w:rsid w:val="003204A6"/>
    <w:rsid w:val="003523BE"/>
    <w:rsid w:val="0036092F"/>
    <w:rsid w:val="00362423"/>
    <w:rsid w:val="003B04C8"/>
    <w:rsid w:val="003F3AB5"/>
    <w:rsid w:val="003F6340"/>
    <w:rsid w:val="004003A0"/>
    <w:rsid w:val="0040445E"/>
    <w:rsid w:val="00425E04"/>
    <w:rsid w:val="0043110C"/>
    <w:rsid w:val="004448D1"/>
    <w:rsid w:val="00454F70"/>
    <w:rsid w:val="00462E52"/>
    <w:rsid w:val="00466B72"/>
    <w:rsid w:val="00500E83"/>
    <w:rsid w:val="00503F95"/>
    <w:rsid w:val="005061FD"/>
    <w:rsid w:val="00543F86"/>
    <w:rsid w:val="00553679"/>
    <w:rsid w:val="00554C58"/>
    <w:rsid w:val="005603E5"/>
    <w:rsid w:val="00563009"/>
    <w:rsid w:val="005A54C3"/>
    <w:rsid w:val="005A66BC"/>
    <w:rsid w:val="005B04DC"/>
    <w:rsid w:val="005F53AC"/>
    <w:rsid w:val="00610F04"/>
    <w:rsid w:val="00627E31"/>
    <w:rsid w:val="006400E6"/>
    <w:rsid w:val="006441F2"/>
    <w:rsid w:val="00652437"/>
    <w:rsid w:val="0065784F"/>
    <w:rsid w:val="006C1BA3"/>
    <w:rsid w:val="006E31BC"/>
    <w:rsid w:val="006F6E09"/>
    <w:rsid w:val="00716D81"/>
    <w:rsid w:val="00755B25"/>
    <w:rsid w:val="007812E7"/>
    <w:rsid w:val="00794585"/>
    <w:rsid w:val="007A7B29"/>
    <w:rsid w:val="007D10E4"/>
    <w:rsid w:val="007D28A6"/>
    <w:rsid w:val="007E6459"/>
    <w:rsid w:val="00864918"/>
    <w:rsid w:val="008809ED"/>
    <w:rsid w:val="008815EE"/>
    <w:rsid w:val="008B0A90"/>
    <w:rsid w:val="008B409A"/>
    <w:rsid w:val="008D29CD"/>
    <w:rsid w:val="008F45B0"/>
    <w:rsid w:val="0092139B"/>
    <w:rsid w:val="00944BE1"/>
    <w:rsid w:val="00954271"/>
    <w:rsid w:val="00967328"/>
    <w:rsid w:val="00992C92"/>
    <w:rsid w:val="009930C5"/>
    <w:rsid w:val="00A04611"/>
    <w:rsid w:val="00A174CC"/>
    <w:rsid w:val="00A212E8"/>
    <w:rsid w:val="00A61587"/>
    <w:rsid w:val="00A62318"/>
    <w:rsid w:val="00A664F9"/>
    <w:rsid w:val="00A70A54"/>
    <w:rsid w:val="00AA70CA"/>
    <w:rsid w:val="00AA78AD"/>
    <w:rsid w:val="00AB415E"/>
    <w:rsid w:val="00AB41A6"/>
    <w:rsid w:val="00AD25DE"/>
    <w:rsid w:val="00AD3518"/>
    <w:rsid w:val="00B01CC0"/>
    <w:rsid w:val="00B0485E"/>
    <w:rsid w:val="00B104E9"/>
    <w:rsid w:val="00B54CFE"/>
    <w:rsid w:val="00BC2140"/>
    <w:rsid w:val="00BC2E06"/>
    <w:rsid w:val="00BD4F39"/>
    <w:rsid w:val="00C010D4"/>
    <w:rsid w:val="00C56101"/>
    <w:rsid w:val="00C5622B"/>
    <w:rsid w:val="00C572E0"/>
    <w:rsid w:val="00C62134"/>
    <w:rsid w:val="00C71F92"/>
    <w:rsid w:val="00C760B6"/>
    <w:rsid w:val="00C97781"/>
    <w:rsid w:val="00CF102F"/>
    <w:rsid w:val="00CF3AD1"/>
    <w:rsid w:val="00D068B3"/>
    <w:rsid w:val="00D07C3E"/>
    <w:rsid w:val="00D211D6"/>
    <w:rsid w:val="00D277E6"/>
    <w:rsid w:val="00D35908"/>
    <w:rsid w:val="00D46C4D"/>
    <w:rsid w:val="00D573CA"/>
    <w:rsid w:val="00D956C5"/>
    <w:rsid w:val="00DC0D83"/>
    <w:rsid w:val="00DC23C5"/>
    <w:rsid w:val="00DF6878"/>
    <w:rsid w:val="00E14752"/>
    <w:rsid w:val="00E24123"/>
    <w:rsid w:val="00E428DF"/>
    <w:rsid w:val="00E8258B"/>
    <w:rsid w:val="00ED592D"/>
    <w:rsid w:val="00F07D24"/>
    <w:rsid w:val="00F67FCD"/>
    <w:rsid w:val="00F71300"/>
    <w:rsid w:val="00FB1866"/>
    <w:rsid w:val="00FB7B9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554C58"/>
    <w:rPr>
      <w:color w:val="0563C1"/>
      <w:u w:val="single"/>
    </w:rPr>
  </w:style>
  <w:style w:type="character" w:customStyle="1" w:styleId="UnresolvedMention1">
    <w:name w:val="Unresolved Mention1"/>
    <w:basedOn w:val="DefaultParagraphFont"/>
    <w:uiPriority w:val="99"/>
    <w:rsid w:val="00610F04"/>
    <w:rPr>
      <w:color w:val="605E5C"/>
      <w:shd w:val="clear" w:color="auto" w:fill="E1DFDD"/>
    </w:rPr>
  </w:style>
  <w:style w:type="character" w:styleId="FollowedHyperlink">
    <w:name w:val="FollowedHyperlink"/>
    <w:basedOn w:val="DefaultParagraphFont"/>
    <w:uiPriority w:val="99"/>
    <w:semiHidden/>
    <w:unhideWhenUsed/>
    <w:rsid w:val="00610F0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B04C8"/>
    <w:rPr>
      <w:b/>
      <w:bCs/>
    </w:rPr>
  </w:style>
  <w:style w:type="character" w:customStyle="1" w:styleId="CommentSubjectChar">
    <w:name w:val="Comment Subject Char"/>
    <w:basedOn w:val="CommentTextChar"/>
    <w:link w:val="CommentSubject"/>
    <w:uiPriority w:val="99"/>
    <w:semiHidden/>
    <w:rsid w:val="003B04C8"/>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40445E"/>
    <w:pPr>
      <w:ind w:left="720"/>
      <w:contextualSpacing/>
    </w:pPr>
  </w:style>
  <w:style w:type="character" w:styleId="UnresolvedMention">
    <w:name w:val="Unresolved Mention"/>
    <w:basedOn w:val="DefaultParagraphFont"/>
    <w:uiPriority w:val="99"/>
    <w:semiHidden/>
    <w:unhideWhenUsed/>
    <w:rsid w:val="006F6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49395">
      <w:bodyDiv w:val="1"/>
      <w:marLeft w:val="0"/>
      <w:marRight w:val="0"/>
      <w:marTop w:val="0"/>
      <w:marBottom w:val="0"/>
      <w:divBdr>
        <w:top w:val="none" w:sz="0" w:space="0" w:color="auto"/>
        <w:left w:val="none" w:sz="0" w:space="0" w:color="auto"/>
        <w:bottom w:val="none" w:sz="0" w:space="0" w:color="auto"/>
        <w:right w:val="none" w:sz="0" w:space="0" w:color="auto"/>
      </w:divBdr>
    </w:div>
    <w:div w:id="1990938701">
      <w:bodyDiv w:val="1"/>
      <w:marLeft w:val="0"/>
      <w:marRight w:val="0"/>
      <w:marTop w:val="0"/>
      <w:marBottom w:val="0"/>
      <w:divBdr>
        <w:top w:val="none" w:sz="0" w:space="0" w:color="auto"/>
        <w:left w:val="none" w:sz="0" w:space="0" w:color="auto"/>
        <w:bottom w:val="none" w:sz="0" w:space="0" w:color="auto"/>
        <w:right w:val="none" w:sz="0" w:space="0" w:color="auto"/>
      </w:divBdr>
    </w:div>
    <w:div w:id="2035689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sv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4</Pages>
  <Words>845</Words>
  <Characters>4817</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65</cp:revision>
  <dcterms:created xsi:type="dcterms:W3CDTF">2021-05-26T03:22:00Z</dcterms:created>
  <dcterms:modified xsi:type="dcterms:W3CDTF">2022-03-13T03:41:00Z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