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67C94E7" w14:textId="77777777" w:rsidR="002D76E8" w:rsidRDefault="003079D8"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5809E0A4" wp14:editId="0DFBE59F">
            <wp:simplePos x="0" y="0"/>
            <wp:positionH relativeFrom="column">
              <wp:posOffset>9526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 distT="0" distB="0" distL="114300" distR="11430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4695F32" w14:textId="77777777" w:rsidR="002D76E8" w:rsidRDefault="002D76E8">
      <w:pPr>
        <w:rPr>
          <w:rFonts w:ascii="Arial" w:eastAsia="Arial" w:hAnsi="Arial" w:cs="Arial"/>
          <w:color w:val="0000FF"/>
          <w:sz w:val="20"/>
          <w:szCs w:val="20"/>
        </w:rPr>
      </w:pPr>
    </w:p>
    <w:p w14:paraId="6975F5FA" w14:textId="77777777" w:rsidR="002D76E8" w:rsidRDefault="002D76E8">
      <w:pPr>
        <w:rPr>
          <w:rFonts w:ascii="Arial" w:eastAsia="Arial" w:hAnsi="Arial" w:cs="Arial"/>
          <w:color w:val="0000FF"/>
          <w:sz w:val="20"/>
          <w:szCs w:val="20"/>
        </w:rPr>
      </w:pPr>
    </w:p>
    <w:p w14:paraId="6D6A587A" w14:textId="77777777" w:rsidR="002D76E8" w:rsidRDefault="002D76E8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3D1264D" w14:textId="77777777" w:rsidR="002D76E8" w:rsidRDefault="002D76E8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9B713B1" w14:textId="77777777" w:rsidR="002D76E8" w:rsidRDefault="002D76E8">
      <w:pPr>
        <w:rPr>
          <w:rFonts w:ascii="Arial" w:eastAsia="Arial" w:hAnsi="Arial" w:cs="Arial"/>
          <w:color w:val="0000FF"/>
          <w:sz w:val="20"/>
          <w:szCs w:val="20"/>
        </w:rPr>
      </w:pPr>
    </w:p>
    <w:p w14:paraId="6F7B3E39" w14:textId="77777777" w:rsidR="002D76E8" w:rsidRDefault="002D76E8">
      <w:pPr>
        <w:rPr>
          <w:rFonts w:ascii="Arial" w:eastAsia="Arial" w:hAnsi="Arial" w:cs="Arial"/>
          <w:color w:val="0000FF"/>
          <w:sz w:val="20"/>
          <w:szCs w:val="20"/>
        </w:rPr>
      </w:pPr>
    </w:p>
    <w:p w14:paraId="660EF123" w14:textId="77777777" w:rsidR="002D76E8" w:rsidRDefault="003079D8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t>Part 1: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 xml:space="preserve">TITLE, AUTHORS, APPROVALS, </w:t>
      </w:r>
      <w:proofErr w:type="spellStart"/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6645C339" w14:textId="77777777" w:rsidR="002D76E8" w:rsidRDefault="002D76E8">
      <w:pPr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072" w:type="dxa"/>
        <w:tblInd w:w="127" w:type="dxa"/>
        <w:tblLayout w:type="fixed"/>
        <w:tblLook w:val="0400" w:firstRow="0" w:lastRow="0" w:firstColumn="0" w:lastColumn="0" w:noHBand="0" w:noVBand="1"/>
      </w:tblPr>
      <w:tblGrid>
        <w:gridCol w:w="3553"/>
        <w:gridCol w:w="4809"/>
        <w:gridCol w:w="710"/>
      </w:tblGrid>
      <w:tr w:rsidR="002D76E8" w14:paraId="2E59BFC0" w14:textId="77777777">
        <w:tc>
          <w:tcPr>
            <w:tcW w:w="35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5F570C" w14:textId="77777777" w:rsidR="002D76E8" w:rsidRDefault="003079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i/>
                <w:color w:val="000000"/>
                <w:sz w:val="36"/>
                <w:szCs w:val="36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Code assigned:</w:t>
            </w:r>
          </w:p>
        </w:tc>
        <w:tc>
          <w:tcPr>
            <w:tcW w:w="4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9B2C11" w14:textId="77777777" w:rsidR="002D76E8" w:rsidRDefault="003079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i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  <w:t>2021.001B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F677AB" w14:textId="77777777" w:rsidR="002D76E8" w:rsidRDefault="002D76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2D76E8" w14:paraId="4E05B026" w14:textId="77777777">
        <w:tc>
          <w:tcPr>
            <w:tcW w:w="9072" w:type="dxa"/>
            <w:gridSpan w:val="3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441E007E" w14:textId="77777777" w:rsidR="002D76E8" w:rsidRDefault="003079D8">
            <w:pPr>
              <w:spacing w:before="12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</w:rPr>
              <w:t xml:space="preserve">Short title: </w:t>
            </w:r>
            <w:r>
              <w:rPr>
                <w:rFonts w:ascii="Arial" w:eastAsia="Arial" w:hAnsi="Arial" w:cs="Arial"/>
              </w:rPr>
              <w:t xml:space="preserve">Abolish the order </w:t>
            </w:r>
            <w:proofErr w:type="spellStart"/>
            <w:r>
              <w:rPr>
                <w:rFonts w:ascii="Arial" w:eastAsia="Arial" w:hAnsi="Arial" w:cs="Arial"/>
                <w:i/>
              </w:rPr>
              <w:t>Caudovirales</w:t>
            </w:r>
            <w:proofErr w:type="spellEnd"/>
            <w:r>
              <w:rPr>
                <w:rFonts w:ascii="Arial" w:eastAsia="Arial" w:hAnsi="Arial" w:cs="Arial"/>
              </w:rPr>
              <w:t xml:space="preserve"> and the families </w:t>
            </w:r>
            <w:proofErr w:type="spellStart"/>
            <w:r>
              <w:rPr>
                <w:rFonts w:ascii="Arial" w:eastAsia="Arial" w:hAnsi="Arial" w:cs="Arial"/>
                <w:i/>
              </w:rPr>
              <w:t>Myoviridae</w:t>
            </w:r>
            <w:proofErr w:type="spellEnd"/>
            <w:r>
              <w:rPr>
                <w:rFonts w:ascii="Arial" w:eastAsia="Arial" w:hAnsi="Arial" w:cs="Arial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i/>
              </w:rPr>
              <w:t>Siphoviridae</w:t>
            </w:r>
            <w:proofErr w:type="spellEnd"/>
            <w:r>
              <w:rPr>
                <w:rFonts w:ascii="Arial" w:eastAsia="Arial" w:hAnsi="Arial" w:cs="Arial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i/>
              </w:rPr>
              <w:t>Podoviridae</w:t>
            </w:r>
            <w:proofErr w:type="spellEnd"/>
            <w:r>
              <w:rPr>
                <w:rFonts w:ascii="Arial" w:eastAsia="Arial" w:hAnsi="Arial" w:cs="Arial"/>
              </w:rPr>
              <w:t xml:space="preserve"> (</w:t>
            </w:r>
            <w:proofErr w:type="spellStart"/>
            <w:r>
              <w:rPr>
                <w:rFonts w:ascii="Arial" w:eastAsia="Arial" w:hAnsi="Arial" w:cs="Arial"/>
                <w:i/>
              </w:rPr>
              <w:t>Caudoviricetes</w:t>
            </w:r>
            <w:proofErr w:type="spellEnd"/>
            <w:r>
              <w:rPr>
                <w:rFonts w:ascii="Arial" w:eastAsia="Arial" w:hAnsi="Arial" w:cs="Arial"/>
              </w:rPr>
              <w:t>)</w:t>
            </w:r>
          </w:p>
        </w:tc>
      </w:tr>
      <w:tr w:rsidR="002D76E8" w14:paraId="76E57ADE" w14:textId="77777777">
        <w:trPr>
          <w:trHeight w:val="245"/>
        </w:trPr>
        <w:tc>
          <w:tcPr>
            <w:tcW w:w="907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437B7E" w14:textId="77777777" w:rsidR="002D76E8" w:rsidRDefault="002D76E8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5CA79EA4" w14:textId="77777777" w:rsidR="002D76E8" w:rsidRDefault="003079D8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Author(s) and email address(es)</w:t>
      </w:r>
    </w:p>
    <w:tbl>
      <w:tblPr>
        <w:tblStyle w:val="a0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68"/>
        <w:gridCol w:w="4704"/>
      </w:tblGrid>
      <w:tr w:rsidR="002D76E8" w14:paraId="61A1912B" w14:textId="77777777">
        <w:tc>
          <w:tcPr>
            <w:tcW w:w="4368" w:type="dxa"/>
            <w:shd w:val="clear" w:color="auto" w:fill="auto"/>
          </w:tcPr>
          <w:p w14:paraId="257DED7E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Adriaenssens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EM,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Kropinski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AM, Turner D,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Krupovic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M, Millard A,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Dutilh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BE, Oksanen HM,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Lood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C, Reyes A,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Moraru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C, Aziz RK, Tong Y,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Barylski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J,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Łobocka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M, Sarkar BL, Gillis A, van Zyl LJ, Lehman SM, Sullivan MB, Wittman J,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Ku</w:t>
            </w:r>
            <w:r>
              <w:rPr>
                <w:rFonts w:ascii="Arial" w:eastAsia="Arial" w:hAnsi="Arial" w:cs="Arial"/>
                <w:sz w:val="22"/>
                <w:szCs w:val="22"/>
              </w:rPr>
              <w:t>shkina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AI,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Knezevic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P,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Brister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JR, Edwards RA,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Kurtböke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DI,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Poranen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MM, Lavigne R,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Shkoporov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AN, Uchiyama J, Moreno-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Switt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AI,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Enault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F</w:t>
            </w:r>
          </w:p>
          <w:p w14:paraId="6B0CD489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 </w:t>
            </w:r>
          </w:p>
          <w:p w14:paraId="66427CD6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FBBFB54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9A59A57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11EA066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EFC23A5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F072CB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870A759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64D0AD63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evelien.adriaenssens@quadram.ac.uk; phage.canada@gmail.com; dann2.turner@uwe.ac.uk; </w:t>
            </w: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mart.krupovic@pasteur.fr;</w:t>
            </w:r>
            <w:proofErr w:type="gram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3498A7AD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Adm39@le.ac.uk;</w:t>
            </w:r>
            <w:proofErr w:type="gram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5F656339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bedutilh@gmail.com; hanna.oksanen@helsinki.fi; cedric.lood@kuleuven.be; a.reyes@uniandes.edu.co; liliana.cristina.moraru@uol.de; ramy.aziz@gmail.com; tong.yigang@gmail.com; jakub.barylski@gmail.com; </w:t>
            </w: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lobocka@ibb.waw.pl;</w:t>
            </w:r>
            <w:proofErr w:type="gram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4F9C7792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bl_sarkar@hotmail.c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om; </w:t>
            </w: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annika.gillis@gmail.com;</w:t>
            </w:r>
            <w:proofErr w:type="gram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40A3EB2A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lvanzyl@uwc.ac.za; susan.lehman@fda.hhs.gov; mbsulli@gmail.com; johannes.wittmann@dsmz.de; a.kushkina@gmail.com; knezevic.petar@dbe.uns.ac.rs; jamesbr@ncbi.nlm.nih.gov; robert.edwards@flinders.edu.au; ikurtbok@usc.edu.au; minn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a.poranen@helsinki.fi; rob.lavigne@kuleuven.be; andrey.shkoporov@ucc.ie; uchiyama@azabu-u.ac.jp; </w:t>
            </w: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andrea.moreno@uc.cl;</w:t>
            </w:r>
            <w:proofErr w:type="gram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6B817CE7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francois.enault@uca.fr</w:t>
            </w:r>
          </w:p>
        </w:tc>
      </w:tr>
    </w:tbl>
    <w:p w14:paraId="0E4B0427" w14:textId="77777777" w:rsidR="002D76E8" w:rsidRDefault="003079D8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Author(s) institutional address(es) (optional)</w:t>
      </w:r>
    </w:p>
    <w:p w14:paraId="6EEB045D" w14:textId="77777777" w:rsidR="002D76E8" w:rsidRDefault="002D76E8">
      <w:pPr>
        <w:spacing w:before="120" w:after="120"/>
        <w:rPr>
          <w:rFonts w:ascii="Arial" w:eastAsia="Arial" w:hAnsi="Arial" w:cs="Arial"/>
          <w:b/>
        </w:rPr>
      </w:pPr>
    </w:p>
    <w:tbl>
      <w:tblPr>
        <w:tblStyle w:val="a1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2D76E8" w14:paraId="3DD4B169" w14:textId="77777777">
        <w:tc>
          <w:tcPr>
            <w:tcW w:w="9072" w:type="dxa"/>
            <w:shd w:val="clear" w:color="auto" w:fill="auto"/>
          </w:tcPr>
          <w:p w14:paraId="49134677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Quadram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Institute Bioscience, UK [EMA]</w:t>
            </w:r>
          </w:p>
          <w:p w14:paraId="0383259E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Guelph, Canada [AMK]</w:t>
            </w:r>
          </w:p>
          <w:p w14:paraId="5946BE77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the West of England at Bristol, UK [DT]</w:t>
            </w:r>
          </w:p>
          <w:p w14:paraId="0A05D18C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Institut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Pasteur, France [MK]</w:t>
            </w:r>
          </w:p>
          <w:p w14:paraId="1C449412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lastRenderedPageBreak/>
              <w:t>University of Leicester, UK [AM]</w:t>
            </w:r>
          </w:p>
          <w:p w14:paraId="0DF13076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Utrecht University, Netherlands [BED]</w:t>
            </w:r>
          </w:p>
          <w:p w14:paraId="78DCE200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Helsinki, Finland [HMO, MMP]</w:t>
            </w:r>
          </w:p>
          <w:p w14:paraId="4CD7109C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KU Leuven, BE [CL, RL]</w:t>
            </w:r>
          </w:p>
          <w:p w14:paraId="71A51F30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Universidad de los Andes, Colombia [AR]</w:t>
            </w:r>
          </w:p>
          <w:p w14:paraId="66AA7191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Oldenburg, Germany [CM]</w:t>
            </w:r>
          </w:p>
          <w:p w14:paraId="33D3AEB4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Cairo University &amp; Children’s Cancer Hospital Cairo, Egypt [RKA]</w:t>
            </w:r>
          </w:p>
          <w:p w14:paraId="5AE1FFDD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Beijing U</w:t>
            </w:r>
            <w:r>
              <w:rPr>
                <w:rFonts w:ascii="Arial" w:eastAsia="Arial" w:hAnsi="Arial" w:cs="Arial"/>
                <w:sz w:val="22"/>
                <w:szCs w:val="22"/>
              </w:rPr>
              <w:t>niversity of Chemical Technology, China [YT]</w:t>
            </w:r>
          </w:p>
          <w:p w14:paraId="2B219E46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Adam Mickiewicz University in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Poznań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>, Poland [JB]</w:t>
            </w:r>
          </w:p>
          <w:p w14:paraId="43C1A6DE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Institute of Biochemistry and Biophysics of the Polish Academy of Sciences, Poland (MŁ)</w:t>
            </w:r>
          </w:p>
          <w:p w14:paraId="772B5867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ICMR-National Institute of Cholera &amp; Enteric Diseases (NICED), India [BLS</w:t>
            </w:r>
            <w:r>
              <w:rPr>
                <w:rFonts w:ascii="Arial" w:eastAsia="Arial" w:hAnsi="Arial" w:cs="Arial"/>
                <w:sz w:val="22"/>
                <w:szCs w:val="22"/>
              </w:rPr>
              <w:t>]</w:t>
            </w:r>
          </w:p>
          <w:p w14:paraId="54EB6BBE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Université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catholique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de Louvain, Belgium [AG, JM]</w:t>
            </w:r>
          </w:p>
          <w:p w14:paraId="66912978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the Western Cape, South Africa [LVZ]</w:t>
            </w:r>
          </w:p>
          <w:p w14:paraId="69F0CB70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US Food and Drug Administration, Silver Spring, MD, USA [SML]</w:t>
            </w:r>
          </w:p>
          <w:p w14:paraId="55B988A3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The Ohio State University, USA [MBS]</w:t>
            </w:r>
          </w:p>
          <w:p w14:paraId="49BBC635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Leibniz Institute DSMZ – German Collection of Microorganisms and Cell Cultures GmbH, Germany [JW]</w:t>
            </w:r>
          </w:p>
          <w:p w14:paraId="43AFB5CC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Zabolotny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Institute of microbiology and virology, Ukraine [AIK]</w:t>
            </w:r>
          </w:p>
          <w:p w14:paraId="46DE2515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Novi Sad, Serbia [PK]</w:t>
            </w:r>
          </w:p>
          <w:p w14:paraId="53416587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National Center for Biotechnology Information, National Li</w:t>
            </w:r>
            <w:r>
              <w:rPr>
                <w:rFonts w:ascii="Arial" w:eastAsia="Arial" w:hAnsi="Arial" w:cs="Arial"/>
                <w:sz w:val="22"/>
                <w:szCs w:val="22"/>
              </w:rPr>
              <w:t>brary of Medicine, National Institutes of Health, Bethesda, MD 20894, USA [JRB]</w:t>
            </w:r>
          </w:p>
          <w:p w14:paraId="0EE0D027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Flinders University, Australia [RAE]</w:t>
            </w:r>
          </w:p>
          <w:p w14:paraId="619E0F0E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the Sunshine Coast, Australia [DIK]</w:t>
            </w:r>
          </w:p>
          <w:p w14:paraId="07B47058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College Cork, Ireland [ANS]</w:t>
            </w:r>
          </w:p>
          <w:p w14:paraId="304694CB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Okayama University, Japan [JU]</w:t>
            </w:r>
          </w:p>
          <w:p w14:paraId="1EC70BC3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Pontificia Universi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dad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Católica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de Chile [AIMS]</w:t>
            </w:r>
          </w:p>
          <w:p w14:paraId="551AED6A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Université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Clermont Auvergne, France [FE]</w:t>
            </w:r>
          </w:p>
          <w:p w14:paraId="0512D07B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3A6E1DD" w14:textId="77777777" w:rsidR="002D76E8" w:rsidRDefault="003079D8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lastRenderedPageBreak/>
        <w:t>Corresponding author</w:t>
      </w:r>
    </w:p>
    <w:tbl>
      <w:tblPr>
        <w:tblStyle w:val="a2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2D76E8" w14:paraId="59549C5F" w14:textId="77777777">
        <w:tc>
          <w:tcPr>
            <w:tcW w:w="9072" w:type="dxa"/>
            <w:shd w:val="clear" w:color="auto" w:fill="auto"/>
          </w:tcPr>
          <w:p w14:paraId="54339128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Evelien M.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Adriaenssens</w:t>
            </w:r>
            <w:proofErr w:type="spellEnd"/>
          </w:p>
        </w:tc>
      </w:tr>
    </w:tbl>
    <w:p w14:paraId="1DFFD77C" w14:textId="77777777" w:rsidR="002D76E8" w:rsidRDefault="003079D8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List the ICTV Study Group(s) that have seen this proposal</w:t>
      </w:r>
    </w:p>
    <w:p w14:paraId="7AFA63E5" w14:textId="77777777" w:rsidR="002D76E8" w:rsidRDefault="002D76E8"/>
    <w:tbl>
      <w:tblPr>
        <w:tblStyle w:val="a3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2D76E8" w14:paraId="1EE688B0" w14:textId="77777777">
        <w:tc>
          <w:tcPr>
            <w:tcW w:w="9072" w:type="dxa"/>
            <w:shd w:val="clear" w:color="auto" w:fill="auto"/>
          </w:tcPr>
          <w:p w14:paraId="72D73CB4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640B09D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Bacterial Viruses Subcommittee</w:t>
            </w:r>
          </w:p>
          <w:p w14:paraId="3AC44E2D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7F7F7B5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D1688AE" w14:textId="77777777" w:rsidR="002D76E8" w:rsidRDefault="003079D8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 study group comments and response of proposer</w:t>
      </w:r>
    </w:p>
    <w:p w14:paraId="34862C4A" w14:textId="77777777" w:rsidR="002D76E8" w:rsidRDefault="002D76E8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4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2D76E8" w14:paraId="3AD72C9A" w14:textId="77777777">
        <w:tc>
          <w:tcPr>
            <w:tcW w:w="9072" w:type="dxa"/>
            <w:shd w:val="clear" w:color="auto" w:fill="auto"/>
          </w:tcPr>
          <w:p w14:paraId="1A5DEBC0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029E890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2CB9E8E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88E5094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6B610F0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1B4A97E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6BD6E416" w14:textId="77777777" w:rsidR="002D76E8" w:rsidRDefault="003079D8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Authority to use the name of a living person</w:t>
      </w:r>
    </w:p>
    <w:tbl>
      <w:tblPr>
        <w:tblStyle w:val="a5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39"/>
        <w:gridCol w:w="1133"/>
      </w:tblGrid>
      <w:tr w:rsidR="002D76E8" w14:paraId="7A0DC4DB" w14:textId="77777777">
        <w:tc>
          <w:tcPr>
            <w:tcW w:w="7939" w:type="dxa"/>
            <w:shd w:val="clear" w:color="auto" w:fill="auto"/>
          </w:tcPr>
          <w:p w14:paraId="2DF91F86" w14:textId="77777777" w:rsidR="002D76E8" w:rsidRDefault="003079D8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493B1126" w14:textId="77777777" w:rsidR="002D76E8" w:rsidRDefault="003079D8">
            <w:r>
              <w:t>N</w:t>
            </w:r>
          </w:p>
        </w:tc>
      </w:tr>
    </w:tbl>
    <w:p w14:paraId="7D45EE88" w14:textId="77777777" w:rsidR="002D76E8" w:rsidRDefault="002D76E8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6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92"/>
        <w:gridCol w:w="3403"/>
        <w:gridCol w:w="2977"/>
      </w:tblGrid>
      <w:tr w:rsidR="002D76E8" w14:paraId="5F81458C" w14:textId="77777777">
        <w:tc>
          <w:tcPr>
            <w:tcW w:w="2692" w:type="dxa"/>
            <w:shd w:val="clear" w:color="auto" w:fill="auto"/>
          </w:tcPr>
          <w:p w14:paraId="7EDCC3AD" w14:textId="77777777" w:rsidR="002D76E8" w:rsidRDefault="003079D8">
            <w:pP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764BAFD1" w14:textId="77777777" w:rsidR="002D76E8" w:rsidRDefault="003079D8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50A4DB63" w14:textId="77777777" w:rsidR="002D76E8" w:rsidRDefault="003079D8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2D76E8" w14:paraId="7E6C0DF4" w14:textId="77777777">
        <w:tc>
          <w:tcPr>
            <w:tcW w:w="2692" w:type="dxa"/>
            <w:shd w:val="clear" w:color="auto" w:fill="auto"/>
          </w:tcPr>
          <w:p w14:paraId="7D55EADD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64202CC6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16297F3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2D76E8" w14:paraId="1A448A95" w14:textId="77777777">
        <w:tc>
          <w:tcPr>
            <w:tcW w:w="2692" w:type="dxa"/>
            <w:shd w:val="clear" w:color="auto" w:fill="auto"/>
          </w:tcPr>
          <w:p w14:paraId="12605130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1417688B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6112689F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2D76E8" w14:paraId="4DB4D6BE" w14:textId="77777777">
        <w:tc>
          <w:tcPr>
            <w:tcW w:w="2692" w:type="dxa"/>
            <w:shd w:val="clear" w:color="auto" w:fill="auto"/>
          </w:tcPr>
          <w:p w14:paraId="52854268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D51662C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16C99063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D9F1A61" w14:textId="77777777" w:rsidR="002D76E8" w:rsidRDefault="002D76E8"/>
    <w:p w14:paraId="4BC3CF88" w14:textId="77777777" w:rsidR="002D76E8" w:rsidRDefault="003079D8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Submission dates</w:t>
      </w:r>
    </w:p>
    <w:tbl>
      <w:tblPr>
        <w:tblStyle w:val="a7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20"/>
        <w:gridCol w:w="4252"/>
      </w:tblGrid>
      <w:tr w:rsidR="002D76E8" w14:paraId="6AE4D5FC" w14:textId="77777777">
        <w:tc>
          <w:tcPr>
            <w:tcW w:w="4820" w:type="dxa"/>
            <w:shd w:val="clear" w:color="auto" w:fill="auto"/>
          </w:tcPr>
          <w:p w14:paraId="31FD7B82" w14:textId="77777777" w:rsidR="002D76E8" w:rsidRDefault="003079D8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647801AA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May 2021</w:t>
            </w:r>
          </w:p>
        </w:tc>
      </w:tr>
      <w:tr w:rsidR="002D76E8" w14:paraId="3E7A6BA4" w14:textId="77777777">
        <w:tc>
          <w:tcPr>
            <w:tcW w:w="4820" w:type="dxa"/>
            <w:shd w:val="clear" w:color="auto" w:fill="auto"/>
          </w:tcPr>
          <w:p w14:paraId="67F20EB8" w14:textId="77777777" w:rsidR="002D76E8" w:rsidRDefault="003079D8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4C2B9185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798041A0" w14:textId="77777777" w:rsidR="002D76E8" w:rsidRDefault="003079D8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ICTV-EC comments and response of the proposer</w:t>
      </w:r>
    </w:p>
    <w:tbl>
      <w:tblPr>
        <w:tblStyle w:val="a8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2D76E8" w14:paraId="7E783EA2" w14:textId="77777777">
        <w:tc>
          <w:tcPr>
            <w:tcW w:w="9072" w:type="dxa"/>
            <w:shd w:val="clear" w:color="auto" w:fill="auto"/>
          </w:tcPr>
          <w:p w14:paraId="4862892A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734FBC9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6ABF43C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DC56DB3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A0E45F0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09E0732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986B826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0533902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3BEEC32" w14:textId="77777777" w:rsidR="002D76E8" w:rsidRDefault="002D76E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6607D272" w14:textId="77777777" w:rsidR="002D76E8" w:rsidRDefault="002D76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55215A85" w14:textId="77777777" w:rsidR="002D76E8" w:rsidRDefault="002D76E8"/>
    <w:p w14:paraId="7B9A8ADC" w14:textId="77777777" w:rsidR="002D76E8" w:rsidRDefault="003079D8">
      <w:r>
        <w:br w:type="page"/>
      </w:r>
    </w:p>
    <w:p w14:paraId="72CE255C" w14:textId="77777777" w:rsidR="002D76E8" w:rsidRDefault="003079D8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lastRenderedPageBreak/>
        <w:t>Part 3</w:t>
      </w:r>
      <w:r>
        <w:rPr>
          <w:rFonts w:ascii="Arial" w:eastAsia="Arial" w:hAnsi="Arial" w:cs="Arial"/>
          <w:b/>
          <w:color w:val="000000"/>
          <w:sz w:val="22"/>
          <w:szCs w:val="22"/>
        </w:rPr>
        <w:t>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697C3BF8" w14:textId="77777777" w:rsidR="002D76E8" w:rsidRDefault="003079D8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Name of accompanying Excel module</w:t>
      </w:r>
    </w:p>
    <w:tbl>
      <w:tblPr>
        <w:tblStyle w:val="a9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2D76E8" w14:paraId="7DFD0666" w14:textId="77777777">
        <w:tc>
          <w:tcPr>
            <w:tcW w:w="9072" w:type="dxa"/>
            <w:shd w:val="clear" w:color="auto" w:fill="auto"/>
          </w:tcPr>
          <w:p w14:paraId="5E159B8B" w14:textId="28A05992" w:rsidR="002D76E8" w:rsidRDefault="003079D8">
            <w:pPr>
              <w:spacing w:before="120" w:after="1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2021.001B.</w:t>
            </w:r>
            <w:r w:rsidR="00BE30D4">
              <w:rPr>
                <w:rFonts w:ascii="Arial" w:eastAsia="Arial" w:hAnsi="Arial" w:cs="Arial"/>
                <w:sz w:val="22"/>
                <w:szCs w:val="22"/>
              </w:rPr>
              <w:t>A</w:t>
            </w:r>
            <w:r>
              <w:rPr>
                <w:rFonts w:ascii="Arial" w:eastAsia="Arial" w:hAnsi="Arial" w:cs="Arial"/>
                <w:sz w:val="22"/>
                <w:szCs w:val="22"/>
              </w:rPr>
              <w:t>.v1.abolish_Caudovirales.xlsx</w:t>
            </w:r>
          </w:p>
        </w:tc>
      </w:tr>
    </w:tbl>
    <w:p w14:paraId="6EEB6E43" w14:textId="77777777" w:rsidR="002D76E8" w:rsidRDefault="003079D8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Abstract</w:t>
      </w:r>
    </w:p>
    <w:p w14:paraId="58F2003E" w14:textId="77777777" w:rsidR="002D76E8" w:rsidRDefault="002D76E8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a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2D76E8" w14:paraId="2B4B2A6C" w14:textId="77777777">
        <w:tc>
          <w:tcPr>
            <w:tcW w:w="9072" w:type="dxa"/>
            <w:shd w:val="clear" w:color="auto" w:fill="auto"/>
          </w:tcPr>
          <w:p w14:paraId="570026C2" w14:textId="77777777" w:rsidR="002D76E8" w:rsidRDefault="003079D8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Here we propose to abolish the order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Caudovirales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keeping all underlying taxonomic ranks in the class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Caudoviricetes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. We also propose to abolish the morphology-based phage families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Myoviridae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Siphoviridae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Podoviridae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which have been repeatedly shown not to be monophyletic. </w:t>
            </w:r>
          </w:p>
          <w:p w14:paraId="3BDBD152" w14:textId="77777777" w:rsidR="002D76E8" w:rsidRDefault="002D76E8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7AF9FF64" w14:textId="77777777" w:rsidR="002D76E8" w:rsidRDefault="002D76E8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63C79FE7" w14:textId="77777777" w:rsidR="002D76E8" w:rsidRDefault="002D76E8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7C4E556E" w14:textId="77777777" w:rsidR="002D76E8" w:rsidRDefault="002D76E8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6430481B" w14:textId="77777777" w:rsidR="002D76E8" w:rsidRDefault="002D76E8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7DA73950" w14:textId="77777777" w:rsidR="002D76E8" w:rsidRDefault="003079D8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Times" w:eastAsia="Times" w:hAnsi="Times" w:cs="Times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Text of proposal</w:t>
      </w:r>
    </w:p>
    <w:tbl>
      <w:tblPr>
        <w:tblStyle w:val="ab"/>
        <w:tblW w:w="9228" w:type="dxa"/>
        <w:tblLayout w:type="fixed"/>
        <w:tblLook w:val="0400" w:firstRow="0" w:lastRow="0" w:firstColumn="0" w:lastColumn="0" w:noHBand="0" w:noVBand="1"/>
      </w:tblPr>
      <w:tblGrid>
        <w:gridCol w:w="9228"/>
      </w:tblGrid>
      <w:tr w:rsidR="002D76E8" w14:paraId="7B91224B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134EA83A" w14:textId="77777777" w:rsidR="002D76E8" w:rsidRDefault="002D76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2880" w:hanging="2880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  <w:tbl>
            <w:tblPr>
              <w:tblStyle w:val="ac"/>
              <w:tblW w:w="9002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9002"/>
            </w:tblGrid>
            <w:tr w:rsidR="002D76E8" w14:paraId="5B0F85B0" w14:textId="77777777">
              <w:tc>
                <w:tcPr>
                  <w:tcW w:w="9002" w:type="dxa"/>
                  <w:shd w:val="clear" w:color="auto" w:fill="auto"/>
                </w:tcPr>
                <w:p w14:paraId="4B987DC7" w14:textId="77777777" w:rsidR="002D76E8" w:rsidRDefault="002D76E8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41E2ACA" w14:textId="77777777" w:rsidR="002D76E8" w:rsidRDefault="003079D8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Once phage genome sequencing became more prevalent, it has been known since the early 2000’s that the families </w:t>
                  </w:r>
                  <w:proofErr w:type="spellStart"/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Myoviridae</w:t>
                  </w:r>
                  <w:proofErr w:type="spellEnd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, </w:t>
                  </w:r>
                  <w:proofErr w:type="spellStart"/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Siphoviridae</w:t>
                  </w:r>
                  <w:proofErr w:type="spellEnd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and </w:t>
                  </w:r>
                  <w:proofErr w:type="spellStart"/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Podoviridae</w:t>
                  </w:r>
                  <w:proofErr w:type="spellEnd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are not monophyletic. Therefore, we propose to abolish these. </w:t>
                  </w:r>
                </w:p>
                <w:p w14:paraId="045C45A7" w14:textId="77777777" w:rsidR="002D76E8" w:rsidRDefault="002D76E8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</w:p>
                <w:p w14:paraId="62E8C8F8" w14:textId="77777777" w:rsidR="002D76E8" w:rsidRDefault="003079D8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In our opinion piece in Viruses [1], we summarize the studies, methods and software tools that have shown this paraphyly before:</w:t>
                  </w:r>
                </w:p>
                <w:p w14:paraId="1772BFDE" w14:textId="77777777" w:rsidR="002D76E8" w:rsidRDefault="003079D8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The Phage Proteomic Tree [2] and its web server </w:t>
                  </w:r>
                  <w:proofErr w:type="spellStart"/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Vi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P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Tree</w:t>
                  </w:r>
                  <w:proofErr w:type="spellEnd"/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[3]: t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ree dendrogram based on shared predicted protein content</w:t>
                  </w:r>
                </w:p>
                <w:p w14:paraId="28375F19" w14:textId="77777777" w:rsidR="002D76E8" w:rsidRDefault="003079D8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The first reticulate network representation of phage genomes [4]</w:t>
                  </w:r>
                </w:p>
                <w:p w14:paraId="6F480571" w14:textId="77777777" w:rsidR="002D76E8" w:rsidRDefault="003079D8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A bipartite network of shared genes [5]</w:t>
                  </w:r>
                </w:p>
                <w:p w14:paraId="3905A534" w14:textId="77777777" w:rsidR="002D76E8" w:rsidRDefault="003079D8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vConTACT2, a weighted network of phage genome shared predict protein content [6]</w:t>
                  </w:r>
                </w:p>
                <w:p w14:paraId="289F9E20" w14:textId="77777777" w:rsidR="002D76E8" w:rsidRDefault="003079D8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proofErr w:type="spellStart"/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GRAViTy</w:t>
                  </w:r>
                  <w:proofErr w:type="spellEnd"/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, a method based on shared protein content and genome organization [7, 8]</w:t>
                  </w:r>
                </w:p>
                <w:p w14:paraId="0E81EA20" w14:textId="77777777" w:rsidR="002D76E8" w:rsidRDefault="003079D8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A virus </w:t>
                  </w:r>
                  <w:r>
                    <w:rPr>
                      <w:rFonts w:ascii="Calibri" w:eastAsia="Calibri" w:hAnsi="Calibri" w:cs="Calibri"/>
                      <w:color w:val="000000"/>
                      <w:sz w:val="22"/>
                      <w:szCs w:val="22"/>
                    </w:rPr>
                    <w:t>﻿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domain orthologous groups approach (VDOG) [9]</w:t>
                  </w:r>
                </w:p>
                <w:p w14:paraId="28FF7F74" w14:textId="77777777" w:rsidR="002D76E8" w:rsidRDefault="003079D8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CCP77, a concatenated protein phylogeny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of members of the order </w:t>
                  </w:r>
                  <w:proofErr w:type="spellStart"/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Caudovirales</w:t>
                  </w:r>
                  <w:proofErr w:type="spellEnd"/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[10]</w:t>
                  </w:r>
                </w:p>
                <w:p w14:paraId="6CC956F6" w14:textId="77777777" w:rsidR="002D76E8" w:rsidRDefault="002D76E8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031A02B3" w14:textId="77777777" w:rsidR="002D76E8" w:rsidRDefault="003079D8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In the past couple of years, we have started to disentangle the phages comprising these families in favor of those created using genome-based relationships and metrics. In our Roadmap paper we suggest the followi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ng criteria for the establishment of a new family:</w:t>
                  </w:r>
                </w:p>
                <w:p w14:paraId="17E62CBA" w14:textId="77777777" w:rsidR="002D76E8" w:rsidRDefault="002D76E8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744E88AD" w14:textId="77777777" w:rsidR="002D76E8" w:rsidRDefault="003079D8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color w:val="000000"/>
                      <w:sz w:val="22"/>
                      <w:szCs w:val="22"/>
                    </w:rPr>
                    <w:t>﻿</w:t>
                  </w:r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>The family is represented by a cohesive and monophyletic group in the main predicted proteome-based clustering tools (</w:t>
                  </w:r>
                  <w:proofErr w:type="spellStart"/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>ViPTree</w:t>
                  </w:r>
                  <w:proofErr w:type="spellEnd"/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 xml:space="preserve">, </w:t>
                  </w:r>
                  <w:proofErr w:type="spellStart"/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>GRAViTy</w:t>
                  </w:r>
                  <w:proofErr w:type="spellEnd"/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 xml:space="preserve"> dendrogram, </w:t>
                  </w:r>
                  <w:proofErr w:type="spellStart"/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>vCon</w:t>
                  </w:r>
                  <w:proofErr w:type="spellEnd"/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>- TACT2 network)</w:t>
                  </w:r>
                </w:p>
                <w:p w14:paraId="03DE5308" w14:textId="77777777" w:rsidR="002D76E8" w:rsidRDefault="003079D8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>Members of the family share a significant number of orthologous genes (the number will d</w:t>
                  </w:r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>epend on the genome sizes and number of coding sequences of members of the family).</w:t>
                  </w:r>
                </w:p>
                <w:p w14:paraId="032408E4" w14:textId="77777777" w:rsidR="002D76E8" w:rsidRDefault="003079D8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 xml:space="preserve">If a </w:t>
                  </w:r>
                  <w:proofErr w:type="gramStart"/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>family-level cluster shares orthologues</w:t>
                  </w:r>
                  <w:proofErr w:type="gramEnd"/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 xml:space="preserve"> with another family-level cluster, the family cluster needs to be monophyletic in a phylogenetic analysis of the shared ortholo</w:t>
                  </w:r>
                  <w:r>
                    <w:rPr>
                      <w:rFonts w:ascii="Arial" w:eastAsia="Arial" w:hAnsi="Arial" w:cs="Arial"/>
                      <w:color w:val="7030A0"/>
                      <w:sz w:val="22"/>
                      <w:szCs w:val="22"/>
                    </w:rPr>
                    <w:t>gue(s).</w:t>
                  </w:r>
                </w:p>
                <w:p w14:paraId="1875C209" w14:textId="77777777" w:rsidR="002D76E8" w:rsidRDefault="002D76E8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8A19761" w14:textId="77777777" w:rsidR="002D76E8" w:rsidRDefault="002D76E8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6A395959" w14:textId="77777777" w:rsidR="002D76E8" w:rsidRDefault="003079D8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We also propose to abolish the order </w:t>
                  </w:r>
                  <w:proofErr w:type="spellStart"/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Caudovirales</w:t>
                  </w:r>
                  <w:proofErr w:type="spellEnd"/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and have its membership and the current structure automatically assigned to the class </w:t>
                  </w:r>
                  <w:proofErr w:type="spellStart"/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Caudoviricetes</w:t>
                  </w:r>
                  <w:proofErr w:type="spellEnd"/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. This will open up the possibility to create new genome-based orders that better reflect the di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versity of tailed bacteriophages. </w:t>
                  </w:r>
                </w:p>
                <w:p w14:paraId="3525A7F0" w14:textId="77777777" w:rsidR="002D76E8" w:rsidRDefault="002D76E8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0A87EA7" w14:textId="77777777" w:rsidR="002D76E8" w:rsidRDefault="002D76E8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7D88938A" w14:textId="77777777" w:rsidR="002D76E8" w:rsidRDefault="002D76E8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</w:tc>
      </w:tr>
    </w:tbl>
    <w:p w14:paraId="09DD9F8B" w14:textId="77777777" w:rsidR="002D76E8" w:rsidRDefault="003079D8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>Supporting evidence</w:t>
      </w:r>
    </w:p>
    <w:p w14:paraId="163E5A8F" w14:textId="77777777" w:rsidR="002D76E8" w:rsidRDefault="002D76E8">
      <w:pPr>
        <w:rPr>
          <w:rFonts w:ascii="Arial" w:eastAsia="Arial" w:hAnsi="Arial" w:cs="Arial"/>
          <w:b/>
          <w:sz w:val="22"/>
          <w:szCs w:val="22"/>
        </w:rPr>
      </w:pPr>
    </w:p>
    <w:p w14:paraId="7124E93A" w14:textId="77777777" w:rsidR="002D76E8" w:rsidRDefault="002D76E8">
      <w:pPr>
        <w:rPr>
          <w:rFonts w:ascii="Arial" w:eastAsia="Arial" w:hAnsi="Arial" w:cs="Arial"/>
          <w:b/>
          <w:sz w:val="22"/>
          <w:szCs w:val="22"/>
        </w:rPr>
      </w:pPr>
    </w:p>
    <w:p w14:paraId="301448A3" w14:textId="77777777" w:rsidR="002D76E8" w:rsidRDefault="003079D8">
      <w:pPr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b/>
          <w:sz w:val="22"/>
          <w:szCs w:val="22"/>
        </w:rPr>
        <w:t>GRAViTy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: The </w:t>
      </w:r>
      <w:proofErr w:type="spellStart"/>
      <w:r>
        <w:rPr>
          <w:rFonts w:ascii="Arial" w:eastAsia="Arial" w:hAnsi="Arial" w:cs="Arial"/>
          <w:sz w:val="22"/>
          <w:szCs w:val="22"/>
        </w:rPr>
        <w:t>GRAViTy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dendrogram shows the current morphotypes consistent with the morphology-based families on the inner ring and the families as of MSL35 on the outer ring. The composite generalized Jaccard distance (0-1) between two genomes is indicated by circ</w:t>
      </w:r>
      <w:r>
        <w:rPr>
          <w:rFonts w:ascii="Arial" w:eastAsia="Arial" w:hAnsi="Arial" w:cs="Arial"/>
          <w:sz w:val="22"/>
          <w:szCs w:val="22"/>
        </w:rPr>
        <w:t xml:space="preserve">les from the node to the center, where 0 is identical and 1 is no shared genome content. </w:t>
      </w:r>
      <w:r>
        <w:rPr>
          <w:rFonts w:ascii="Calibri" w:eastAsia="Calibri" w:hAnsi="Calibri" w:cs="Calibri"/>
          <w:sz w:val="22"/>
          <w:szCs w:val="22"/>
        </w:rPr>
        <w:t>﻿</w:t>
      </w:r>
      <w:r>
        <w:rPr>
          <w:rFonts w:ascii="Arial" w:eastAsia="Arial" w:hAnsi="Arial" w:cs="Arial"/>
          <w:sz w:val="22"/>
          <w:szCs w:val="22"/>
        </w:rPr>
        <w:t xml:space="preserve">The Jaccard distance of 0.8, unifying the majority of eukaryotic virus families is indicated in blue for illustration purposes. </w:t>
      </w:r>
    </w:p>
    <w:p w14:paraId="153364B7" w14:textId="77777777" w:rsidR="002D76E8" w:rsidRDefault="003079D8">
      <w:pPr>
        <w:keepNext/>
      </w:pPr>
      <w:r>
        <w:rPr>
          <w:rFonts w:ascii="Arial" w:eastAsia="Arial" w:hAnsi="Arial" w:cs="Arial"/>
          <w:b/>
          <w:noProof/>
          <w:sz w:val="22"/>
          <w:szCs w:val="22"/>
        </w:rPr>
        <w:drawing>
          <wp:inline distT="0" distB="0" distL="0" distR="0" wp14:anchorId="13A4C9C6" wp14:editId="33DD6F92">
            <wp:extent cx="5731510" cy="3880883"/>
            <wp:effectExtent l="0" t="0" r="0" b="0"/>
            <wp:docPr id="8" name="image3.png" descr="Circular tree dendrogram of the GRAViTy program, with two colored outer rings, one with the morphotypes, one with new families. 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ircular tree dendrogram of the GRAViTy program, with two colored outer rings, one with the morphotypes, one with new families.  "/>
                    <pic:cNvPicPr preferRelativeResize="0"/>
                  </pic:nvPicPr>
                  <pic:blipFill>
                    <a:blip r:embed="rId9"/>
                    <a:srcRect b="257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8088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FAB8F9A" w14:textId="77777777" w:rsidR="002D76E8" w:rsidRDefault="003079D8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i/>
          <w:color w:val="000000"/>
          <w:sz w:val="22"/>
          <w:szCs w:val="22"/>
        </w:rPr>
      </w:pPr>
      <w:r>
        <w:rPr>
          <w:i/>
          <w:color w:val="000000"/>
        </w:rPr>
        <w:t xml:space="preserve">Figure 1: </w:t>
      </w:r>
      <w:proofErr w:type="spellStart"/>
      <w:r>
        <w:rPr>
          <w:i/>
          <w:color w:val="000000"/>
        </w:rPr>
        <w:t>GRAViTy</w:t>
      </w:r>
      <w:proofErr w:type="spellEnd"/>
      <w:r>
        <w:rPr>
          <w:i/>
          <w:color w:val="000000"/>
        </w:rPr>
        <w:t xml:space="preserve"> dendrogram, copyright the authors of Turner et al, 2021, Viruses </w:t>
      </w:r>
      <w:r>
        <w:rPr>
          <w:color w:val="000000"/>
        </w:rPr>
        <w:t>[1]</w:t>
      </w:r>
      <w:r>
        <w:rPr>
          <w:i/>
          <w:color w:val="000000"/>
        </w:rPr>
        <w:t>.</w:t>
      </w:r>
    </w:p>
    <w:p w14:paraId="23B0FFF5" w14:textId="77777777" w:rsidR="002D76E8" w:rsidRDefault="002D76E8">
      <w:pPr>
        <w:rPr>
          <w:rFonts w:ascii="Arial" w:eastAsia="Arial" w:hAnsi="Arial" w:cs="Arial"/>
          <w:b/>
        </w:rPr>
      </w:pPr>
    </w:p>
    <w:p w14:paraId="58581AF7" w14:textId="77777777" w:rsidR="002D76E8" w:rsidRDefault="003079D8">
      <w:pPr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Phage Proteomic Tree – </w:t>
      </w:r>
      <w:proofErr w:type="spellStart"/>
      <w:r>
        <w:rPr>
          <w:rFonts w:ascii="Arial" w:eastAsia="Arial" w:hAnsi="Arial" w:cs="Arial"/>
          <w:b/>
        </w:rPr>
        <w:t>VipTree</w:t>
      </w:r>
      <w:proofErr w:type="spellEnd"/>
      <w:r>
        <w:rPr>
          <w:rFonts w:ascii="Arial" w:eastAsia="Arial" w:hAnsi="Arial" w:cs="Arial"/>
          <w:b/>
        </w:rPr>
        <w:t>:</w:t>
      </w:r>
      <w:r>
        <w:rPr>
          <w:rFonts w:ascii="Arial" w:eastAsia="Arial" w:hAnsi="Arial" w:cs="Arial"/>
        </w:rPr>
        <w:t xml:space="preserve"> The latest iteration of </w:t>
      </w:r>
      <w:proofErr w:type="spellStart"/>
      <w:r>
        <w:rPr>
          <w:rFonts w:ascii="Arial" w:eastAsia="Arial" w:hAnsi="Arial" w:cs="Arial"/>
        </w:rPr>
        <w:t>VipTree</w:t>
      </w:r>
      <w:proofErr w:type="spellEnd"/>
      <w:r>
        <w:rPr>
          <w:rFonts w:ascii="Arial" w:eastAsia="Arial" w:hAnsi="Arial" w:cs="Arial"/>
        </w:rPr>
        <w:t xml:space="preserve"> (version 1.9, </w:t>
      </w:r>
      <w:proofErr w:type="spellStart"/>
      <w:r>
        <w:rPr>
          <w:rFonts w:ascii="Arial" w:eastAsia="Arial" w:hAnsi="Arial" w:cs="Arial"/>
        </w:rPr>
        <w:t>RefSeq</w:t>
      </w:r>
      <w:proofErr w:type="spellEnd"/>
      <w:r>
        <w:rPr>
          <w:rFonts w:ascii="Arial" w:eastAsia="Arial" w:hAnsi="Arial" w:cs="Arial"/>
        </w:rPr>
        <w:t xml:space="preserve"> release 93) shows that neither the morphology-based families, nor the order </w:t>
      </w:r>
      <w:proofErr w:type="spellStart"/>
      <w:r>
        <w:rPr>
          <w:rFonts w:ascii="Arial" w:eastAsia="Arial" w:hAnsi="Arial" w:cs="Arial"/>
          <w:i/>
        </w:rPr>
        <w:t>Caudovirales</w:t>
      </w:r>
      <w:proofErr w:type="spellEnd"/>
      <w:r>
        <w:rPr>
          <w:rFonts w:ascii="Arial" w:eastAsia="Arial" w:hAnsi="Arial" w:cs="Arial"/>
        </w:rPr>
        <w:t>, are monophyletic. In this case, archaeal viruses (designated “</w:t>
      </w:r>
      <w:proofErr w:type="spellStart"/>
      <w:r>
        <w:rPr>
          <w:rFonts w:ascii="Arial" w:eastAsia="Arial" w:hAnsi="Arial" w:cs="Arial"/>
          <w:i/>
        </w:rPr>
        <w:t>Rudiviridae</w:t>
      </w:r>
      <w:proofErr w:type="spellEnd"/>
      <w:r>
        <w:rPr>
          <w:rFonts w:ascii="Arial" w:eastAsia="Arial" w:hAnsi="Arial" w:cs="Arial"/>
        </w:rPr>
        <w:t xml:space="preserve">” or “others”) are interspersed within </w:t>
      </w:r>
      <w:r>
        <w:rPr>
          <w:rFonts w:ascii="Arial" w:eastAsia="Arial" w:hAnsi="Arial" w:cs="Arial"/>
        </w:rPr>
        <w:t xml:space="preserve">the tree because at the root of the tree, no groups of viruses share any protein orthologues. </w:t>
      </w:r>
    </w:p>
    <w:p w14:paraId="470F6214" w14:textId="77777777" w:rsidR="002D76E8" w:rsidRDefault="003079D8">
      <w:pPr>
        <w:keepNext/>
      </w:pPr>
      <w:r>
        <w:rPr>
          <w:rFonts w:ascii="Arial" w:eastAsia="Arial" w:hAnsi="Arial" w:cs="Arial"/>
          <w:b/>
          <w:noProof/>
        </w:rPr>
        <w:lastRenderedPageBreak/>
        <w:drawing>
          <wp:inline distT="0" distB="0" distL="0" distR="0" wp14:anchorId="510E082F" wp14:editId="225CCC3E">
            <wp:extent cx="5731510" cy="4239895"/>
            <wp:effectExtent l="0" t="0" r="0" b="0"/>
            <wp:docPr id="7" name="image4.png" descr="Circular tree dendrogram of the VipTree program, with two outer rings, one according two families at the time of RefSeq release 93, one with the host group.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Circular tree dendrogram of the VipTree program, with two outer rings, one according two families at the time of RefSeq release 93, one with the host group. 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398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3265C5" w14:textId="77777777" w:rsidR="002D76E8" w:rsidRDefault="003079D8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i/>
          <w:color w:val="000000"/>
        </w:rPr>
      </w:pPr>
      <w:r>
        <w:rPr>
          <w:i/>
          <w:color w:val="000000"/>
        </w:rPr>
        <w:t xml:space="preserve">Figure 2: </w:t>
      </w:r>
      <w:proofErr w:type="spellStart"/>
      <w:r>
        <w:rPr>
          <w:i/>
          <w:color w:val="000000"/>
        </w:rPr>
        <w:t>VipTree</w:t>
      </w:r>
      <w:proofErr w:type="spellEnd"/>
      <w:r>
        <w:rPr>
          <w:i/>
          <w:color w:val="000000"/>
        </w:rPr>
        <w:t xml:space="preserve"> dendrogram, genome.jp/</w:t>
      </w:r>
      <w:proofErr w:type="spellStart"/>
      <w:r>
        <w:rPr>
          <w:i/>
          <w:color w:val="000000"/>
        </w:rPr>
        <w:t>viptree</w:t>
      </w:r>
      <w:proofErr w:type="spellEnd"/>
      <w:r>
        <w:rPr>
          <w:i/>
          <w:color w:val="000000"/>
        </w:rPr>
        <w:t xml:space="preserve"> </w:t>
      </w:r>
      <w:r>
        <w:rPr>
          <w:color w:val="000000"/>
        </w:rPr>
        <w:t>[3]</w:t>
      </w:r>
    </w:p>
    <w:p w14:paraId="0C76FB81" w14:textId="77777777" w:rsidR="002D76E8" w:rsidRDefault="002D76E8">
      <w:pPr>
        <w:rPr>
          <w:rFonts w:ascii="Arial" w:eastAsia="Arial" w:hAnsi="Arial" w:cs="Arial"/>
          <w:b/>
        </w:rPr>
      </w:pPr>
    </w:p>
    <w:p w14:paraId="4B9B3B89" w14:textId="77777777" w:rsidR="002D76E8" w:rsidRDefault="003079D8">
      <w:pPr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vConTACT2:</w:t>
      </w:r>
      <w:r>
        <w:rPr>
          <w:rFonts w:ascii="Arial" w:eastAsia="Arial" w:hAnsi="Arial" w:cs="Arial"/>
        </w:rPr>
        <w:t xml:space="preserve"> The network-based representation by vConTACT2 [6] shows that there are many groups of dsDNA bac</w:t>
      </w:r>
      <w:r>
        <w:rPr>
          <w:rFonts w:ascii="Arial" w:eastAsia="Arial" w:hAnsi="Arial" w:cs="Arial"/>
        </w:rPr>
        <w:t xml:space="preserve">terial and archaeal viruses that share little or no orthologous proteins. </w:t>
      </w:r>
    </w:p>
    <w:p w14:paraId="1D47CF0A" w14:textId="77777777" w:rsidR="002D76E8" w:rsidRDefault="003079D8">
      <w:pPr>
        <w:keepNext/>
      </w:pPr>
      <w:r>
        <w:rPr>
          <w:rFonts w:ascii="Arial" w:eastAsia="Arial" w:hAnsi="Arial" w:cs="Arial"/>
          <w:b/>
          <w:noProof/>
        </w:rPr>
        <w:lastRenderedPageBreak/>
        <w:drawing>
          <wp:inline distT="0" distB="0" distL="0" distR="0" wp14:anchorId="5D141FD8" wp14:editId="68167995">
            <wp:extent cx="5731510" cy="4739640"/>
            <wp:effectExtent l="0" t="0" r="0" b="0"/>
            <wp:docPr id="5" name="image1.png" descr="Network representation of prokaryotic virus diversity with nodes represented by circles coloured by genome-based family, connected with edges that represent shared protein content.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Network representation of prokaryotic virus diversity with nodes represented by circles coloured by genome-based family, connected with edges that represent shared protein content. 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396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DE650F" w14:textId="77777777" w:rsidR="002D76E8" w:rsidRDefault="003079D8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i/>
          <w:color w:val="000000"/>
        </w:rPr>
      </w:pPr>
      <w:r>
        <w:rPr>
          <w:i/>
          <w:color w:val="000000"/>
        </w:rPr>
        <w:t xml:space="preserve">Figure 3: vConTACT2 network of all dsDNA bacterial and archaeal virus complete genomes based on the INPHARED pipeline </w:t>
      </w:r>
      <w:r>
        <w:rPr>
          <w:color w:val="000000"/>
        </w:rPr>
        <w:t>[11]</w:t>
      </w:r>
      <w:r>
        <w:rPr>
          <w:i/>
          <w:color w:val="000000"/>
        </w:rPr>
        <w:t>, image copyright the authors of Turner et al, 2021, Viru</w:t>
      </w:r>
      <w:r>
        <w:rPr>
          <w:i/>
          <w:color w:val="000000"/>
        </w:rPr>
        <w:t xml:space="preserve">ses </w:t>
      </w:r>
      <w:r>
        <w:rPr>
          <w:color w:val="000000"/>
        </w:rPr>
        <w:t>[1]</w:t>
      </w:r>
      <w:r>
        <w:rPr>
          <w:i/>
          <w:color w:val="000000"/>
        </w:rPr>
        <w:t>.</w:t>
      </w:r>
    </w:p>
    <w:p w14:paraId="7CD7D3A7" w14:textId="77777777" w:rsidR="002D76E8" w:rsidRDefault="002D76E8">
      <w:pPr>
        <w:rPr>
          <w:rFonts w:ascii="Arial" w:eastAsia="Arial" w:hAnsi="Arial" w:cs="Arial"/>
          <w:b/>
        </w:rPr>
      </w:pPr>
    </w:p>
    <w:p w14:paraId="7EDF9A63" w14:textId="77777777" w:rsidR="002D76E8" w:rsidRDefault="003079D8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References</w:t>
      </w:r>
    </w:p>
    <w:p w14:paraId="6332B762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1. </w:t>
      </w:r>
      <w:r>
        <w:rPr>
          <w:rFonts w:ascii="Arial" w:eastAsia="Arial" w:hAnsi="Arial" w:cs="Arial"/>
        </w:rPr>
        <w:tab/>
        <w:t xml:space="preserve">Turner D, </w:t>
      </w:r>
      <w:proofErr w:type="spellStart"/>
      <w:r>
        <w:rPr>
          <w:rFonts w:ascii="Arial" w:eastAsia="Arial" w:hAnsi="Arial" w:cs="Arial"/>
        </w:rPr>
        <w:t>Kropinski</w:t>
      </w:r>
      <w:proofErr w:type="spellEnd"/>
      <w:r>
        <w:rPr>
          <w:rFonts w:ascii="Arial" w:eastAsia="Arial" w:hAnsi="Arial" w:cs="Arial"/>
        </w:rPr>
        <w:t xml:space="preserve"> AM, </w:t>
      </w:r>
      <w:proofErr w:type="spellStart"/>
      <w:r>
        <w:rPr>
          <w:rFonts w:ascii="Arial" w:eastAsia="Arial" w:hAnsi="Arial" w:cs="Arial"/>
        </w:rPr>
        <w:t>Adriaenssens</w:t>
      </w:r>
      <w:proofErr w:type="spellEnd"/>
      <w:r>
        <w:rPr>
          <w:rFonts w:ascii="Arial" w:eastAsia="Arial" w:hAnsi="Arial" w:cs="Arial"/>
        </w:rPr>
        <w:t xml:space="preserve"> EM (2021) A Roadmap for Genome-Based Phage Taxonomy. Viruses 13:506. https://doi.org/10.3390/v13030506</w:t>
      </w:r>
    </w:p>
    <w:p w14:paraId="2BB20857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2. </w:t>
      </w:r>
      <w:r>
        <w:rPr>
          <w:rFonts w:ascii="Arial" w:eastAsia="Arial" w:hAnsi="Arial" w:cs="Arial"/>
        </w:rPr>
        <w:tab/>
      </w:r>
      <w:proofErr w:type="spellStart"/>
      <w:r>
        <w:rPr>
          <w:rFonts w:ascii="Arial" w:eastAsia="Arial" w:hAnsi="Arial" w:cs="Arial"/>
        </w:rPr>
        <w:t>Rohwer</w:t>
      </w:r>
      <w:proofErr w:type="spellEnd"/>
      <w:r>
        <w:rPr>
          <w:rFonts w:ascii="Arial" w:eastAsia="Arial" w:hAnsi="Arial" w:cs="Arial"/>
        </w:rPr>
        <w:t xml:space="preserve"> F, Edwards R (2002) The Phage Proteomic Tree: a genome-based taxonomy for phage.</w:t>
      </w:r>
      <w:r>
        <w:rPr>
          <w:rFonts w:ascii="Arial" w:eastAsia="Arial" w:hAnsi="Arial" w:cs="Arial"/>
        </w:rPr>
        <w:t xml:space="preserve"> J </w:t>
      </w:r>
      <w:proofErr w:type="spellStart"/>
      <w:r>
        <w:rPr>
          <w:rFonts w:ascii="Arial" w:eastAsia="Arial" w:hAnsi="Arial" w:cs="Arial"/>
        </w:rPr>
        <w:t>Bacteriol</w:t>
      </w:r>
      <w:proofErr w:type="spellEnd"/>
      <w:r>
        <w:rPr>
          <w:rFonts w:ascii="Arial" w:eastAsia="Arial" w:hAnsi="Arial" w:cs="Arial"/>
        </w:rPr>
        <w:t xml:space="preserve"> 184:4529–4535. https://doi.org/10.1128/JB.184.16.4529</w:t>
      </w:r>
    </w:p>
    <w:p w14:paraId="67F6ADFF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3. </w:t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 xml:space="preserve">Nishimura Y, Yoshida T, </w:t>
      </w:r>
      <w:proofErr w:type="spellStart"/>
      <w:r>
        <w:rPr>
          <w:rFonts w:ascii="Arial" w:eastAsia="Arial" w:hAnsi="Arial" w:cs="Arial"/>
        </w:rPr>
        <w:t>Kuronishi</w:t>
      </w:r>
      <w:proofErr w:type="spellEnd"/>
      <w:r>
        <w:rPr>
          <w:rFonts w:ascii="Arial" w:eastAsia="Arial" w:hAnsi="Arial" w:cs="Arial"/>
        </w:rPr>
        <w:t xml:space="preserve"> M, et al (2017) </w:t>
      </w:r>
      <w:proofErr w:type="spellStart"/>
      <w:r>
        <w:rPr>
          <w:rFonts w:ascii="Arial" w:eastAsia="Arial" w:hAnsi="Arial" w:cs="Arial"/>
        </w:rPr>
        <w:t>ViPTree</w:t>
      </w:r>
      <w:proofErr w:type="spellEnd"/>
      <w:r>
        <w:rPr>
          <w:rFonts w:ascii="Arial" w:eastAsia="Arial" w:hAnsi="Arial" w:cs="Arial"/>
        </w:rPr>
        <w:t>: The viral proteomic tree server. Bioinformatics 33:2379–2380. https://doi.org/10.1093/bioinformatics/btx157</w:t>
      </w:r>
    </w:p>
    <w:p w14:paraId="7D7DF8E8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4. </w:t>
      </w:r>
      <w:r>
        <w:rPr>
          <w:rFonts w:ascii="Arial" w:eastAsia="Arial" w:hAnsi="Arial" w:cs="Arial"/>
        </w:rPr>
        <w:tab/>
        <w:t xml:space="preserve">Lima-Mendez G, Van </w:t>
      </w:r>
      <w:proofErr w:type="spellStart"/>
      <w:r>
        <w:rPr>
          <w:rFonts w:ascii="Arial" w:eastAsia="Arial" w:hAnsi="Arial" w:cs="Arial"/>
        </w:rPr>
        <w:t>Helden</w:t>
      </w:r>
      <w:proofErr w:type="spellEnd"/>
      <w:r>
        <w:rPr>
          <w:rFonts w:ascii="Arial" w:eastAsia="Arial" w:hAnsi="Arial" w:cs="Arial"/>
        </w:rPr>
        <w:t xml:space="preserve"> J, Toussaint A, </w:t>
      </w:r>
      <w:proofErr w:type="spellStart"/>
      <w:r>
        <w:rPr>
          <w:rFonts w:ascii="Arial" w:eastAsia="Arial" w:hAnsi="Arial" w:cs="Arial"/>
        </w:rPr>
        <w:t>Leplae</w:t>
      </w:r>
      <w:proofErr w:type="spellEnd"/>
      <w:r>
        <w:rPr>
          <w:rFonts w:ascii="Arial" w:eastAsia="Arial" w:hAnsi="Arial" w:cs="Arial"/>
        </w:rPr>
        <w:t xml:space="preserve"> R (2008) Reticulate representation o</w:t>
      </w:r>
      <w:r>
        <w:rPr>
          <w:rFonts w:ascii="Arial" w:eastAsia="Arial" w:hAnsi="Arial" w:cs="Arial"/>
        </w:rPr>
        <w:t xml:space="preserve">f evolutionary and functional relationships between phage genomes. Mol Biol </w:t>
      </w:r>
      <w:proofErr w:type="spellStart"/>
      <w:r>
        <w:rPr>
          <w:rFonts w:ascii="Arial" w:eastAsia="Arial" w:hAnsi="Arial" w:cs="Arial"/>
        </w:rPr>
        <w:t>Evol</w:t>
      </w:r>
      <w:proofErr w:type="spellEnd"/>
      <w:r>
        <w:rPr>
          <w:rFonts w:ascii="Arial" w:eastAsia="Arial" w:hAnsi="Arial" w:cs="Arial"/>
        </w:rPr>
        <w:t xml:space="preserve"> 25:762–777. https://doi.org/10.1093/molbev/msn023</w:t>
      </w:r>
    </w:p>
    <w:p w14:paraId="64C2E459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5. </w:t>
      </w:r>
      <w:r>
        <w:rPr>
          <w:rFonts w:ascii="Arial" w:eastAsia="Arial" w:hAnsi="Arial" w:cs="Arial"/>
        </w:rPr>
        <w:tab/>
      </w:r>
      <w:proofErr w:type="spellStart"/>
      <w:r>
        <w:rPr>
          <w:rFonts w:ascii="Arial" w:eastAsia="Arial" w:hAnsi="Arial" w:cs="Arial"/>
        </w:rPr>
        <w:t>Iranzo</w:t>
      </w:r>
      <w:proofErr w:type="spellEnd"/>
      <w:r>
        <w:rPr>
          <w:rFonts w:ascii="Arial" w:eastAsia="Arial" w:hAnsi="Arial" w:cs="Arial"/>
        </w:rPr>
        <w:t xml:space="preserve"> J, </w:t>
      </w:r>
      <w:proofErr w:type="spellStart"/>
      <w:r>
        <w:rPr>
          <w:rFonts w:ascii="Arial" w:eastAsia="Arial" w:hAnsi="Arial" w:cs="Arial"/>
        </w:rPr>
        <w:t>Krupovic</w:t>
      </w:r>
      <w:proofErr w:type="spellEnd"/>
      <w:r>
        <w:rPr>
          <w:rFonts w:ascii="Arial" w:eastAsia="Arial" w:hAnsi="Arial" w:cs="Arial"/>
        </w:rPr>
        <w:t xml:space="preserve"> M, </w:t>
      </w:r>
      <w:proofErr w:type="spellStart"/>
      <w:r>
        <w:rPr>
          <w:rFonts w:ascii="Arial" w:eastAsia="Arial" w:hAnsi="Arial" w:cs="Arial"/>
        </w:rPr>
        <w:t>Koonin</w:t>
      </w:r>
      <w:proofErr w:type="spellEnd"/>
      <w:r>
        <w:rPr>
          <w:rFonts w:ascii="Arial" w:eastAsia="Arial" w:hAnsi="Arial" w:cs="Arial"/>
        </w:rPr>
        <w:t xml:space="preserve"> E V. (2016) The double-stranded DNA virosphere as a modular hierarchical network of gene sha</w:t>
      </w:r>
      <w:r>
        <w:rPr>
          <w:rFonts w:ascii="Arial" w:eastAsia="Arial" w:hAnsi="Arial" w:cs="Arial"/>
        </w:rPr>
        <w:t xml:space="preserve">ring. </w:t>
      </w:r>
      <w:proofErr w:type="spellStart"/>
      <w:r>
        <w:rPr>
          <w:rFonts w:ascii="Arial" w:eastAsia="Arial" w:hAnsi="Arial" w:cs="Arial"/>
        </w:rPr>
        <w:t>MBio</w:t>
      </w:r>
      <w:proofErr w:type="spellEnd"/>
      <w:r>
        <w:rPr>
          <w:rFonts w:ascii="Arial" w:eastAsia="Arial" w:hAnsi="Arial" w:cs="Arial"/>
        </w:rPr>
        <w:t xml:space="preserve"> </w:t>
      </w:r>
      <w:proofErr w:type="gramStart"/>
      <w:r>
        <w:rPr>
          <w:rFonts w:ascii="Arial" w:eastAsia="Arial" w:hAnsi="Arial" w:cs="Arial"/>
        </w:rPr>
        <w:t>7:e</w:t>
      </w:r>
      <w:proofErr w:type="gramEnd"/>
      <w:r>
        <w:rPr>
          <w:rFonts w:ascii="Arial" w:eastAsia="Arial" w:hAnsi="Arial" w:cs="Arial"/>
        </w:rPr>
        <w:t>00978-16. https://doi.org/10.1128/mBio.00978-16</w:t>
      </w:r>
    </w:p>
    <w:p w14:paraId="23BF2524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6. </w:t>
      </w:r>
      <w:r>
        <w:rPr>
          <w:rFonts w:ascii="Arial" w:eastAsia="Arial" w:hAnsi="Arial" w:cs="Arial"/>
        </w:rPr>
        <w:tab/>
        <w:t xml:space="preserve">Jang H Bin, Bolduc B, </w:t>
      </w:r>
      <w:proofErr w:type="spellStart"/>
      <w:r>
        <w:rPr>
          <w:rFonts w:ascii="Arial" w:eastAsia="Arial" w:hAnsi="Arial" w:cs="Arial"/>
        </w:rPr>
        <w:t>Zablocki</w:t>
      </w:r>
      <w:proofErr w:type="spellEnd"/>
      <w:r>
        <w:rPr>
          <w:rFonts w:ascii="Arial" w:eastAsia="Arial" w:hAnsi="Arial" w:cs="Arial"/>
        </w:rPr>
        <w:t xml:space="preserve"> O, et al (2019) Taxonomic assignment of uncultivated prokaryotic virus genomes is enabled by gene-sharing networks. Nat </w:t>
      </w:r>
      <w:proofErr w:type="spellStart"/>
      <w:r>
        <w:rPr>
          <w:rFonts w:ascii="Arial" w:eastAsia="Arial" w:hAnsi="Arial" w:cs="Arial"/>
        </w:rPr>
        <w:t>Biotechnol</w:t>
      </w:r>
      <w:proofErr w:type="spellEnd"/>
      <w:r>
        <w:rPr>
          <w:rFonts w:ascii="Arial" w:eastAsia="Arial" w:hAnsi="Arial" w:cs="Arial"/>
        </w:rPr>
        <w:t xml:space="preserve"> 37:632–639. https://doi.org/</w:t>
      </w:r>
      <w:r>
        <w:rPr>
          <w:rFonts w:ascii="Arial" w:eastAsia="Arial" w:hAnsi="Arial" w:cs="Arial"/>
        </w:rPr>
        <w:t>10.1038/s41587-019-0100-8</w:t>
      </w:r>
    </w:p>
    <w:p w14:paraId="7700A4C0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7. </w:t>
      </w:r>
      <w:r>
        <w:rPr>
          <w:rFonts w:ascii="Arial" w:eastAsia="Arial" w:hAnsi="Arial" w:cs="Arial"/>
        </w:rPr>
        <w:tab/>
      </w:r>
      <w:proofErr w:type="spellStart"/>
      <w:r>
        <w:rPr>
          <w:rFonts w:ascii="Arial" w:eastAsia="Arial" w:hAnsi="Arial" w:cs="Arial"/>
        </w:rPr>
        <w:t>Aiewsakun</w:t>
      </w:r>
      <w:proofErr w:type="spellEnd"/>
      <w:r>
        <w:rPr>
          <w:rFonts w:ascii="Arial" w:eastAsia="Arial" w:hAnsi="Arial" w:cs="Arial"/>
        </w:rPr>
        <w:t xml:space="preserve"> P, Simmonds P (2018) The genomic underpinnings of eukaryotic virus taxonomy: creating a sequence-based framework for family-level virus classification. Microbiome 6:38. https://doi.org/10.1186/s40168-018-0422-7</w:t>
      </w:r>
    </w:p>
    <w:p w14:paraId="6EBD4F4F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8. </w:t>
      </w:r>
      <w:r>
        <w:rPr>
          <w:rFonts w:ascii="Arial" w:eastAsia="Arial" w:hAnsi="Arial" w:cs="Arial"/>
        </w:rPr>
        <w:tab/>
      </w:r>
      <w:proofErr w:type="spellStart"/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</w:rPr>
        <w:t>iewsakun</w:t>
      </w:r>
      <w:proofErr w:type="spellEnd"/>
      <w:r>
        <w:rPr>
          <w:rFonts w:ascii="Arial" w:eastAsia="Arial" w:hAnsi="Arial" w:cs="Arial"/>
        </w:rPr>
        <w:t xml:space="preserve"> P, </w:t>
      </w:r>
      <w:proofErr w:type="spellStart"/>
      <w:r>
        <w:rPr>
          <w:rFonts w:ascii="Arial" w:eastAsia="Arial" w:hAnsi="Arial" w:cs="Arial"/>
        </w:rPr>
        <w:t>Adriaenssens</w:t>
      </w:r>
      <w:proofErr w:type="spellEnd"/>
      <w:r>
        <w:rPr>
          <w:rFonts w:ascii="Arial" w:eastAsia="Arial" w:hAnsi="Arial" w:cs="Arial"/>
        </w:rPr>
        <w:t xml:space="preserve"> EM, Lavigne R, et al (2018) Evaluation of the genomic diversity of viruses infecting bacteria, archaea and eukaryotes using a common bioinformatic platform: steps towards a unified taxonomy. J Gen </w:t>
      </w:r>
      <w:proofErr w:type="spellStart"/>
      <w:r>
        <w:rPr>
          <w:rFonts w:ascii="Arial" w:eastAsia="Arial" w:hAnsi="Arial" w:cs="Arial"/>
        </w:rPr>
        <w:t>Virol</w:t>
      </w:r>
      <w:proofErr w:type="spellEnd"/>
      <w:r>
        <w:rPr>
          <w:rFonts w:ascii="Arial" w:eastAsia="Arial" w:hAnsi="Arial" w:cs="Arial"/>
        </w:rPr>
        <w:t xml:space="preserve"> 99:1331–1343. https://doi.or</w:t>
      </w:r>
      <w:r>
        <w:rPr>
          <w:rFonts w:ascii="Arial" w:eastAsia="Arial" w:hAnsi="Arial" w:cs="Arial"/>
        </w:rPr>
        <w:t>g/10.1099/jgv.0.001110</w:t>
      </w:r>
    </w:p>
    <w:p w14:paraId="6F9889C0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9. </w:t>
      </w:r>
      <w:r>
        <w:rPr>
          <w:rFonts w:ascii="Arial" w:eastAsia="Arial" w:hAnsi="Arial" w:cs="Arial"/>
        </w:rPr>
        <w:tab/>
        <w:t xml:space="preserve">Andrade-Martínez JS, Moreno-Gallego JL, Reyes A (2019) Defining a Core Genome for the </w:t>
      </w:r>
      <w:proofErr w:type="spellStart"/>
      <w:r>
        <w:rPr>
          <w:rFonts w:ascii="Arial" w:eastAsia="Arial" w:hAnsi="Arial" w:cs="Arial"/>
        </w:rPr>
        <w:t>Herpesvirales</w:t>
      </w:r>
      <w:proofErr w:type="spellEnd"/>
      <w:r>
        <w:rPr>
          <w:rFonts w:ascii="Arial" w:eastAsia="Arial" w:hAnsi="Arial" w:cs="Arial"/>
        </w:rPr>
        <w:t xml:space="preserve"> and Exploring their Evolutionary Relationship with the </w:t>
      </w:r>
      <w:proofErr w:type="spellStart"/>
      <w:r>
        <w:rPr>
          <w:rFonts w:ascii="Arial" w:eastAsia="Arial" w:hAnsi="Arial" w:cs="Arial"/>
        </w:rPr>
        <w:t>Caudovirales</w:t>
      </w:r>
      <w:proofErr w:type="spellEnd"/>
      <w:r>
        <w:rPr>
          <w:rFonts w:ascii="Arial" w:eastAsia="Arial" w:hAnsi="Arial" w:cs="Arial"/>
        </w:rPr>
        <w:t>. Sci Rep 9:11342. https://doi.org/10.1038/s41598-019-47742-z</w:t>
      </w:r>
    </w:p>
    <w:p w14:paraId="49E974EC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10. </w:t>
      </w:r>
      <w:r>
        <w:rPr>
          <w:rFonts w:ascii="Arial" w:eastAsia="Arial" w:hAnsi="Arial" w:cs="Arial"/>
        </w:rPr>
        <w:tab/>
        <w:t xml:space="preserve">Low SJ, </w:t>
      </w:r>
      <w:proofErr w:type="spellStart"/>
      <w:r>
        <w:rPr>
          <w:rFonts w:ascii="Arial" w:eastAsia="Arial" w:hAnsi="Arial" w:cs="Arial"/>
        </w:rPr>
        <w:t>Džunková</w:t>
      </w:r>
      <w:proofErr w:type="spellEnd"/>
      <w:r>
        <w:rPr>
          <w:rFonts w:ascii="Arial" w:eastAsia="Arial" w:hAnsi="Arial" w:cs="Arial"/>
        </w:rPr>
        <w:t xml:space="preserve"> M, </w:t>
      </w:r>
      <w:proofErr w:type="spellStart"/>
      <w:r>
        <w:rPr>
          <w:rFonts w:ascii="Arial" w:eastAsia="Arial" w:hAnsi="Arial" w:cs="Arial"/>
        </w:rPr>
        <w:t>Chaumeil</w:t>
      </w:r>
      <w:proofErr w:type="spellEnd"/>
      <w:r>
        <w:rPr>
          <w:rFonts w:ascii="Arial" w:eastAsia="Arial" w:hAnsi="Arial" w:cs="Arial"/>
        </w:rPr>
        <w:t xml:space="preserve"> P-A, et al (2019) Evaluation of a concatenated protein phylogeny for classification of tailed double-stranded DNA viruses belonging to the order </w:t>
      </w:r>
      <w:proofErr w:type="spellStart"/>
      <w:r>
        <w:rPr>
          <w:rFonts w:ascii="Arial" w:eastAsia="Arial" w:hAnsi="Arial" w:cs="Arial"/>
        </w:rPr>
        <w:t>Caudovirales</w:t>
      </w:r>
      <w:proofErr w:type="spellEnd"/>
      <w:r>
        <w:rPr>
          <w:rFonts w:ascii="Arial" w:eastAsia="Arial" w:hAnsi="Arial" w:cs="Arial"/>
        </w:rPr>
        <w:t>. Nat Microbiol 4:1306–1315. https://doi.org/10.1038/s41564-019-0</w:t>
      </w:r>
      <w:r>
        <w:rPr>
          <w:rFonts w:ascii="Arial" w:eastAsia="Arial" w:hAnsi="Arial" w:cs="Arial"/>
        </w:rPr>
        <w:t>448-z</w:t>
      </w:r>
    </w:p>
    <w:p w14:paraId="1C376A69" w14:textId="77777777" w:rsidR="002D76E8" w:rsidRDefault="003079D8">
      <w:pPr>
        <w:widowControl w:val="0"/>
        <w:spacing w:before="120" w:after="12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11. </w:t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 xml:space="preserve">Cook R, Brown N, </w:t>
      </w:r>
      <w:proofErr w:type="spellStart"/>
      <w:r>
        <w:rPr>
          <w:rFonts w:ascii="Arial" w:eastAsia="Arial" w:hAnsi="Arial" w:cs="Arial"/>
        </w:rPr>
        <w:t>Redgwell</w:t>
      </w:r>
      <w:proofErr w:type="spellEnd"/>
      <w:r>
        <w:rPr>
          <w:rFonts w:ascii="Arial" w:eastAsia="Arial" w:hAnsi="Arial" w:cs="Arial"/>
        </w:rPr>
        <w:t xml:space="preserve"> T, et al (2021) </w:t>
      </w:r>
      <w:proofErr w:type="spellStart"/>
      <w:r>
        <w:rPr>
          <w:rFonts w:ascii="Arial" w:eastAsia="Arial" w:hAnsi="Arial" w:cs="Arial"/>
        </w:rPr>
        <w:t>INfrastructure</w:t>
      </w:r>
      <w:proofErr w:type="spellEnd"/>
      <w:r>
        <w:rPr>
          <w:rFonts w:ascii="Arial" w:eastAsia="Arial" w:hAnsi="Arial" w:cs="Arial"/>
        </w:rPr>
        <w:t xml:space="preserve"> for a </w:t>
      </w:r>
      <w:proofErr w:type="spellStart"/>
      <w:r>
        <w:rPr>
          <w:rFonts w:ascii="Arial" w:eastAsia="Arial" w:hAnsi="Arial" w:cs="Arial"/>
        </w:rPr>
        <w:t>PHAge</w:t>
      </w:r>
      <w:proofErr w:type="spellEnd"/>
      <w:r>
        <w:rPr>
          <w:rFonts w:ascii="Arial" w:eastAsia="Arial" w:hAnsi="Arial" w:cs="Arial"/>
        </w:rPr>
        <w:t xml:space="preserve"> </w:t>
      </w:r>
      <w:proofErr w:type="spellStart"/>
      <w:r>
        <w:rPr>
          <w:rFonts w:ascii="Arial" w:eastAsia="Arial" w:hAnsi="Arial" w:cs="Arial"/>
        </w:rPr>
        <w:t>REference</w:t>
      </w:r>
      <w:proofErr w:type="spellEnd"/>
      <w:r>
        <w:rPr>
          <w:rFonts w:ascii="Arial" w:eastAsia="Arial" w:hAnsi="Arial" w:cs="Arial"/>
        </w:rPr>
        <w:t xml:space="preserve"> Database: Identification of large-scale biases in the current collection of phage genomes. </w:t>
      </w:r>
      <w:proofErr w:type="spellStart"/>
      <w:r>
        <w:rPr>
          <w:rFonts w:ascii="Arial" w:eastAsia="Arial" w:hAnsi="Arial" w:cs="Arial"/>
        </w:rPr>
        <w:t>bioRxiv</w:t>
      </w:r>
      <w:proofErr w:type="spellEnd"/>
      <w:r>
        <w:rPr>
          <w:rFonts w:ascii="Arial" w:eastAsia="Arial" w:hAnsi="Arial" w:cs="Arial"/>
        </w:rPr>
        <w:t>. https://doi.org/10.1101/2021.05.01.442102</w:t>
      </w:r>
    </w:p>
    <w:p w14:paraId="14FA0E78" w14:textId="77777777" w:rsidR="002D76E8" w:rsidRDefault="002D76E8">
      <w:pPr>
        <w:widowControl w:val="0"/>
        <w:spacing w:before="120" w:after="120"/>
        <w:ind w:left="640" w:hanging="640"/>
        <w:rPr>
          <w:rFonts w:ascii="Arial" w:eastAsia="Arial" w:hAnsi="Arial" w:cs="Arial"/>
          <w:b/>
        </w:rPr>
      </w:pPr>
    </w:p>
    <w:sectPr w:rsidR="002D76E8">
      <w:headerReference w:type="default" r:id="rId12"/>
      <w:pgSz w:w="11906" w:h="16838"/>
      <w:pgMar w:top="1440" w:right="1440" w:bottom="1440" w:left="1440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114926E" w14:textId="77777777" w:rsidR="003079D8" w:rsidRDefault="003079D8">
      <w:r>
        <w:separator/>
      </w:r>
    </w:p>
  </w:endnote>
  <w:endnote w:type="continuationSeparator" w:id="0">
    <w:p w14:paraId="3BEB2D63" w14:textId="77777777" w:rsidR="003079D8" w:rsidRDefault="003079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panose1 w:val="020B0604020202020204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altName w:val="﷽﷽﷽﷽﷽﷽晩逑ዀ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altName w:val="PingFang SC"/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D5656D" w14:textId="77777777" w:rsidR="003079D8" w:rsidRDefault="003079D8">
      <w:r>
        <w:separator/>
      </w:r>
    </w:p>
  </w:footnote>
  <w:footnote w:type="continuationSeparator" w:id="0">
    <w:p w14:paraId="71A1AA77" w14:textId="77777777" w:rsidR="003079D8" w:rsidRDefault="003079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351352" w14:textId="77777777" w:rsidR="002D76E8" w:rsidRDefault="003079D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color w:val="000000"/>
      </w:rPr>
    </w:pPr>
    <w:r>
      <w:rPr>
        <w:color w:val="000000"/>
      </w:rPr>
      <w:t>October 2020</w:t>
    </w:r>
  </w:p>
  <w:p w14:paraId="0F32DC1A" w14:textId="77777777" w:rsidR="002D76E8" w:rsidRDefault="002D76E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64B1BD7"/>
    <w:multiLevelType w:val="multilevel"/>
    <w:tmpl w:val="8556A2A8"/>
    <w:lvl w:ilvl="0">
      <w:start w:val="13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C03044A"/>
    <w:multiLevelType w:val="multilevel"/>
    <w:tmpl w:val="7476490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76E8"/>
    <w:rsid w:val="002D76E8"/>
    <w:rsid w:val="003079D8"/>
    <w:rsid w:val="00BE3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3FADB7F"/>
  <w15:docId w15:val="{3BFD6FF9-2125-0747-AAF4-CC228B2E63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DD79FB"/>
    <w:pPr>
      <w:ind w:left="720"/>
      <w:contextualSpacing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E5E3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E5E30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g/0RedmMzhFnwo3p/KG+fBNwyaQ==">AMUW2mU+wUkYk0fzA+jV6dF0RwmxEG61l0l9W4RQs/t7jCCnriZiFwRmEf3LcQxYmbPPMn9x1leDzNFdH3mxOSYPKNvruXbHlUkt1wIvpi6YccCZ8gWsPWE=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1430</Words>
  <Characters>8154</Characters>
  <Application>Microsoft Office Word</Application>
  <DocSecurity>0</DocSecurity>
  <Lines>67</Lines>
  <Paragraphs>19</Paragraphs>
  <ScaleCrop>false</ScaleCrop>
  <Company/>
  <LinksUpToDate>false</LinksUpToDate>
  <CharactersWithSpaces>9565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2</cp:revision>
  <dcterms:created xsi:type="dcterms:W3CDTF">2021-06-01T11:55:00Z</dcterms:created>
  <dcterms:modified xsi:type="dcterms:W3CDTF">2021-09-16T01:20:00Z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Mendeley Recent Style Id 0_1">
    <vt:lpwstr>http://www.zotero.org/styles/archives-of-virology</vt:lpwstr>
  </property>
  <property fmtid="{D5CDD505-2E9C-101B-9397-08002B2CF9AE}" pid="9" name="Mendeley Recent Style Name 0_1">
    <vt:lpwstr>Archives of Virology</vt:lpwstr>
  </property>
  <property fmtid="{D5CDD505-2E9C-101B-9397-08002B2CF9AE}" pid="10" name="Mendeley Recent Style Id 1_1">
    <vt:lpwstr>http://www.zotero.org/styles/environmental-science-and-technology</vt:lpwstr>
  </property>
  <property fmtid="{D5CDD505-2E9C-101B-9397-08002B2CF9AE}" pid="11" name="Mendeley Recent Style Name 1_1">
    <vt:lpwstr>Environmental Science &amp; Technology</vt:lpwstr>
  </property>
  <property fmtid="{D5CDD505-2E9C-101B-9397-08002B2CF9AE}" pid="12" name="Mendeley Recent Style Id 2_1">
    <vt:lpwstr>http://www.zotero.org/styles/journal-of-general-virology</vt:lpwstr>
  </property>
  <property fmtid="{D5CDD505-2E9C-101B-9397-08002B2CF9AE}" pid="13" name="Mendeley Recent Style Name 2_1">
    <vt:lpwstr>Journal of General Virology</vt:lpwstr>
  </property>
  <property fmtid="{D5CDD505-2E9C-101B-9397-08002B2CF9AE}" pid="14" name="Mendeley Recent Style Id 3_1">
    <vt:lpwstr>http://www.zotero.org/styles/microbiome</vt:lpwstr>
  </property>
  <property fmtid="{D5CDD505-2E9C-101B-9397-08002B2CF9AE}" pid="15" name="Mendeley Recent Style Name 3_1">
    <vt:lpwstr>Microbiome</vt:lpwstr>
  </property>
  <property fmtid="{D5CDD505-2E9C-101B-9397-08002B2CF9AE}" pid="16" name="Mendeley Recent Style Id 4_1">
    <vt:lpwstr>http://www.zotero.org/styles/nature</vt:lpwstr>
  </property>
  <property fmtid="{D5CDD505-2E9C-101B-9397-08002B2CF9AE}" pid="17" name="Mendeley Recent Style Name 4_1">
    <vt:lpwstr>Nature</vt:lpwstr>
  </property>
  <property fmtid="{D5CDD505-2E9C-101B-9397-08002B2CF9AE}" pid="18" name="Mendeley Recent Style Id 5_1">
    <vt:lpwstr>http://csl.mendeley.com/styles/9496131/Vancouver-superscript-full</vt:lpwstr>
  </property>
  <property fmtid="{D5CDD505-2E9C-101B-9397-08002B2CF9AE}" pid="19" name="Mendeley Recent Style Name 5_1">
    <vt:lpwstr>Nature - full bibliography</vt:lpwstr>
  </property>
  <property fmtid="{D5CDD505-2E9C-101B-9397-08002B2CF9AE}" pid="20" name="Mendeley Recent Style Id 6_1">
    <vt:lpwstr>http://www.zotero.org/styles/springer-basic-author-date</vt:lpwstr>
  </property>
  <property fmtid="{D5CDD505-2E9C-101B-9397-08002B2CF9AE}" pid="21" name="Mendeley Recent Style Name 6_1">
    <vt:lpwstr>Springer - Basic (author-date)</vt:lpwstr>
  </property>
  <property fmtid="{D5CDD505-2E9C-101B-9397-08002B2CF9AE}" pid="22" name="Mendeley Recent Style Id 7_1">
    <vt:lpwstr>http://www.zotero.org/styles/the-isme-journal</vt:lpwstr>
  </property>
  <property fmtid="{D5CDD505-2E9C-101B-9397-08002B2CF9AE}" pid="23" name="Mendeley Recent Style Name 7_1">
    <vt:lpwstr>The ISME Journal</vt:lpwstr>
  </property>
  <property fmtid="{D5CDD505-2E9C-101B-9397-08002B2CF9AE}" pid="24" name="Mendeley Recent Style Id 8_1">
    <vt:lpwstr>http://www.zotero.org/styles/vancouver</vt:lpwstr>
  </property>
  <property fmtid="{D5CDD505-2E9C-101B-9397-08002B2CF9AE}" pid="25" name="Mendeley Recent Style Name 8_1">
    <vt:lpwstr>Vancouver</vt:lpwstr>
  </property>
  <property fmtid="{D5CDD505-2E9C-101B-9397-08002B2CF9AE}" pid="26" name="Mendeley Recent Style Id 9_1">
    <vt:lpwstr>http://www.zotero.org/styles/viruses</vt:lpwstr>
  </property>
  <property fmtid="{D5CDD505-2E9C-101B-9397-08002B2CF9AE}" pid="27" name="Mendeley Recent Style Name 9_1">
    <vt:lpwstr>Viruses</vt:lpwstr>
  </property>
  <property fmtid="{D5CDD505-2E9C-101B-9397-08002B2CF9AE}" pid="28" name="Mendeley Document_1">
    <vt:lpwstr>True</vt:lpwstr>
  </property>
  <property fmtid="{D5CDD505-2E9C-101B-9397-08002B2CF9AE}" pid="29" name="Mendeley Unique User Id_1">
    <vt:lpwstr>fa8398bc-a8e4-3f24-84b1-08c23abaf463</vt:lpwstr>
  </property>
  <property fmtid="{D5CDD505-2E9C-101B-9397-08002B2CF9AE}" pid="30" name="Mendeley Citation Style_1">
    <vt:lpwstr>http://www.zotero.org/styles/archives-of-virology</vt:lpwstr>
  </property>
</Properties>
</file>