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9C5596" w14:textId="77777777" w:rsidR="0009707F" w:rsidRDefault="000A22F2">
      <w:r>
        <w:rPr>
          <w:noProof/>
        </w:rPr>
        <w:drawing>
          <wp:anchor distT="0" distB="0" distL="114300" distR="114300" simplePos="0" relativeHeight="251658240" behindDoc="0" locked="0" layoutInCell="1" hidden="0" allowOverlap="1" wp14:anchorId="68187C30" wp14:editId="0E611F99">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2E8C39FA" w14:textId="77777777" w:rsidR="0009707F" w:rsidRDefault="0009707F">
      <w:pPr>
        <w:rPr>
          <w:rFonts w:ascii="Arial" w:eastAsia="Arial" w:hAnsi="Arial" w:cs="Arial"/>
          <w:color w:val="0000FF"/>
          <w:sz w:val="20"/>
          <w:szCs w:val="20"/>
        </w:rPr>
      </w:pPr>
    </w:p>
    <w:p w14:paraId="54990788" w14:textId="77777777" w:rsidR="0009707F" w:rsidRDefault="0009707F">
      <w:pPr>
        <w:rPr>
          <w:rFonts w:ascii="Arial" w:eastAsia="Arial" w:hAnsi="Arial" w:cs="Arial"/>
          <w:color w:val="0000FF"/>
          <w:sz w:val="20"/>
          <w:szCs w:val="20"/>
        </w:rPr>
      </w:pPr>
    </w:p>
    <w:p w14:paraId="0DC2D2D6" w14:textId="77777777" w:rsidR="0009707F" w:rsidRDefault="0009707F">
      <w:pPr>
        <w:rPr>
          <w:rFonts w:ascii="Arial" w:eastAsia="Arial" w:hAnsi="Arial" w:cs="Arial"/>
          <w:color w:val="0000FF"/>
          <w:sz w:val="20"/>
          <w:szCs w:val="20"/>
        </w:rPr>
      </w:pPr>
    </w:p>
    <w:p w14:paraId="061F1AD6" w14:textId="77777777" w:rsidR="0009707F" w:rsidRDefault="0009707F">
      <w:pPr>
        <w:rPr>
          <w:rFonts w:ascii="Arial" w:eastAsia="Arial" w:hAnsi="Arial" w:cs="Arial"/>
          <w:color w:val="0000FF"/>
          <w:sz w:val="20"/>
          <w:szCs w:val="20"/>
        </w:rPr>
      </w:pPr>
    </w:p>
    <w:p w14:paraId="725534F8" w14:textId="77777777" w:rsidR="0009707F" w:rsidRDefault="0009707F">
      <w:pPr>
        <w:rPr>
          <w:rFonts w:ascii="Arial" w:eastAsia="Arial" w:hAnsi="Arial" w:cs="Arial"/>
          <w:color w:val="0000FF"/>
          <w:sz w:val="20"/>
          <w:szCs w:val="20"/>
        </w:rPr>
      </w:pPr>
    </w:p>
    <w:p w14:paraId="49DDF4E5" w14:textId="77777777" w:rsidR="0009707F" w:rsidRDefault="0009707F">
      <w:pPr>
        <w:rPr>
          <w:rFonts w:ascii="Arial" w:eastAsia="Arial" w:hAnsi="Arial" w:cs="Arial"/>
          <w:color w:val="0000FF"/>
          <w:sz w:val="20"/>
          <w:szCs w:val="20"/>
        </w:rPr>
      </w:pPr>
    </w:p>
    <w:p w14:paraId="6308D71F" w14:textId="77777777" w:rsidR="0009707F" w:rsidRDefault="000A22F2">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6531A99C" w14:textId="77777777" w:rsidR="0009707F" w:rsidRDefault="0009707F">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4"/>
        <w:gridCol w:w="4809"/>
        <w:gridCol w:w="709"/>
      </w:tblGrid>
      <w:tr w:rsidR="0009707F" w14:paraId="4F21B94E" w14:textId="77777777">
        <w:tc>
          <w:tcPr>
            <w:tcW w:w="3554" w:type="dxa"/>
            <w:tcBorders>
              <w:top w:val="single" w:sz="4" w:space="0" w:color="000000"/>
              <w:left w:val="single" w:sz="4" w:space="0" w:color="000000"/>
              <w:right w:val="single" w:sz="4" w:space="0" w:color="000000"/>
            </w:tcBorders>
            <w:vAlign w:val="center"/>
          </w:tcPr>
          <w:p w14:paraId="3D44AE59" w14:textId="77777777" w:rsidR="0009707F" w:rsidRDefault="000A22F2">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tcPr>
          <w:p w14:paraId="0EE15CA9" w14:textId="77777777" w:rsidR="0009707F" w:rsidRDefault="000A22F2">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2021.012B</w:t>
            </w:r>
          </w:p>
        </w:tc>
        <w:tc>
          <w:tcPr>
            <w:tcW w:w="709" w:type="dxa"/>
            <w:tcBorders>
              <w:top w:val="single" w:sz="4" w:space="0" w:color="000000"/>
              <w:left w:val="single" w:sz="4" w:space="0" w:color="000000"/>
              <w:right w:val="single" w:sz="4" w:space="0" w:color="000000"/>
            </w:tcBorders>
            <w:vAlign w:val="center"/>
          </w:tcPr>
          <w:p w14:paraId="76AC6814" w14:textId="77777777" w:rsidR="0009707F" w:rsidRDefault="0009707F">
            <w:pPr>
              <w:pBdr>
                <w:top w:val="nil"/>
                <w:left w:val="nil"/>
                <w:bottom w:val="nil"/>
                <w:right w:val="nil"/>
                <w:between w:val="nil"/>
              </w:pBdr>
              <w:rPr>
                <w:rFonts w:ascii="Arial" w:eastAsia="Arial" w:hAnsi="Arial" w:cs="Arial"/>
                <w:color w:val="000000"/>
              </w:rPr>
            </w:pPr>
          </w:p>
        </w:tc>
      </w:tr>
      <w:tr w:rsidR="0009707F" w14:paraId="282F5480" w14:textId="77777777">
        <w:tc>
          <w:tcPr>
            <w:tcW w:w="9072" w:type="dxa"/>
            <w:gridSpan w:val="3"/>
            <w:tcBorders>
              <w:left w:val="single" w:sz="4" w:space="0" w:color="000000"/>
              <w:right w:val="single" w:sz="4" w:space="0" w:color="000000"/>
            </w:tcBorders>
          </w:tcPr>
          <w:p w14:paraId="5BCED0DB" w14:textId="77777777" w:rsidR="0009707F" w:rsidRDefault="000A22F2">
            <w:pPr>
              <w:spacing w:before="120"/>
              <w:rPr>
                <w:rFonts w:ascii="Arial" w:eastAsia="Arial" w:hAnsi="Arial" w:cs="Arial"/>
                <w:b/>
                <w:sz w:val="22"/>
                <w:szCs w:val="22"/>
              </w:rPr>
            </w:pPr>
            <w:r>
              <w:rPr>
                <w:rFonts w:ascii="Arial" w:eastAsia="Arial" w:hAnsi="Arial" w:cs="Arial"/>
                <w:b/>
              </w:rPr>
              <w:t xml:space="preserve">Short title: </w:t>
            </w:r>
            <w:r>
              <w:rPr>
                <w:rFonts w:ascii="Arial" w:eastAsia="Arial" w:hAnsi="Arial" w:cs="Arial"/>
              </w:rPr>
              <w:t>Create one new subfamily (</w:t>
            </w:r>
            <w:r>
              <w:rPr>
                <w:rFonts w:ascii="Arial" w:eastAsia="Arial" w:hAnsi="Arial" w:cs="Arial"/>
                <w:i/>
              </w:rPr>
              <w:t>Boydwoodruffvirinae</w:t>
            </w:r>
            <w:r>
              <w:rPr>
                <w:rFonts w:ascii="Arial" w:eastAsia="Arial" w:hAnsi="Arial" w:cs="Arial"/>
              </w:rPr>
              <w:t>) including two existing genera (</w:t>
            </w:r>
            <w:r>
              <w:rPr>
                <w:rFonts w:ascii="Arial" w:eastAsia="Arial" w:hAnsi="Arial" w:cs="Arial"/>
                <w:i/>
              </w:rPr>
              <w:t>Caudoviricetes</w:t>
            </w:r>
            <w:r>
              <w:rPr>
                <w:rFonts w:ascii="Arial" w:eastAsia="Arial" w:hAnsi="Arial" w:cs="Arial"/>
              </w:rPr>
              <w:t>)</w:t>
            </w:r>
          </w:p>
        </w:tc>
      </w:tr>
      <w:tr w:rsidR="0009707F" w14:paraId="5F030F55" w14:textId="77777777">
        <w:trPr>
          <w:trHeight w:val="245"/>
        </w:trPr>
        <w:tc>
          <w:tcPr>
            <w:tcW w:w="9072" w:type="dxa"/>
            <w:gridSpan w:val="3"/>
            <w:tcBorders>
              <w:left w:val="single" w:sz="4" w:space="0" w:color="000000"/>
              <w:bottom w:val="single" w:sz="4" w:space="0" w:color="000000"/>
              <w:right w:val="single" w:sz="4" w:space="0" w:color="000000"/>
            </w:tcBorders>
            <w:vAlign w:val="center"/>
          </w:tcPr>
          <w:p w14:paraId="3AC97E67" w14:textId="77777777" w:rsidR="0009707F" w:rsidRDefault="0009707F">
            <w:pPr>
              <w:rPr>
                <w:rFonts w:ascii="Arial" w:eastAsia="Arial" w:hAnsi="Arial" w:cs="Arial"/>
                <w:b/>
                <w:sz w:val="22"/>
                <w:szCs w:val="22"/>
              </w:rPr>
            </w:pPr>
          </w:p>
        </w:tc>
      </w:tr>
    </w:tbl>
    <w:p w14:paraId="13700886" w14:textId="77777777" w:rsidR="0009707F" w:rsidRDefault="000A22F2">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09707F" w14:paraId="14F578E5" w14:textId="77777777">
        <w:tc>
          <w:tcPr>
            <w:tcW w:w="4368" w:type="dxa"/>
          </w:tcPr>
          <w:p w14:paraId="4C03AB96" w14:textId="77777777" w:rsidR="0009707F" w:rsidRDefault="000A22F2">
            <w:pPr>
              <w:rPr>
                <w:rFonts w:ascii="Arial" w:eastAsia="Arial" w:hAnsi="Arial" w:cs="Arial"/>
                <w:sz w:val="22"/>
                <w:szCs w:val="22"/>
              </w:rPr>
            </w:pPr>
            <w:r>
              <w:rPr>
                <w:rFonts w:ascii="Arial" w:eastAsia="Arial" w:hAnsi="Arial" w:cs="Arial"/>
                <w:sz w:val="22"/>
                <w:szCs w:val="22"/>
              </w:rPr>
              <w:t>Turner D, Adriaenssens EM, Tolstoy I, Moraru C, Kropinski AM</w:t>
            </w:r>
          </w:p>
        </w:tc>
        <w:tc>
          <w:tcPr>
            <w:tcW w:w="4704" w:type="dxa"/>
          </w:tcPr>
          <w:p w14:paraId="43DA6818" w14:textId="77777777" w:rsidR="0009707F" w:rsidRDefault="000A22F2">
            <w:pPr>
              <w:rPr>
                <w:rFonts w:ascii="Arial" w:eastAsia="Arial" w:hAnsi="Arial" w:cs="Arial"/>
              </w:rPr>
            </w:pPr>
            <w:r>
              <w:rPr>
                <w:rFonts w:ascii="Arial" w:eastAsia="Arial" w:hAnsi="Arial" w:cs="Arial"/>
              </w:rPr>
              <w:t>dann2.turner@uwe.ac.uk;</w:t>
            </w:r>
          </w:p>
          <w:p w14:paraId="2CD828F3" w14:textId="77777777" w:rsidR="0009707F" w:rsidRDefault="000A22F2">
            <w:pPr>
              <w:rPr>
                <w:rFonts w:ascii="Arial" w:eastAsia="Arial" w:hAnsi="Arial" w:cs="Arial"/>
              </w:rPr>
            </w:pPr>
            <w:r>
              <w:rPr>
                <w:rFonts w:ascii="Arial" w:eastAsia="Arial" w:hAnsi="Arial" w:cs="Arial"/>
              </w:rPr>
              <w:t>evelien.adriaenssens@quadram.ac.uk;</w:t>
            </w:r>
          </w:p>
          <w:p w14:paraId="7BA7D002" w14:textId="77777777" w:rsidR="0009707F" w:rsidRDefault="000A22F2">
            <w:pPr>
              <w:rPr>
                <w:rFonts w:ascii="Arial" w:eastAsia="Arial" w:hAnsi="Arial" w:cs="Arial"/>
              </w:rPr>
            </w:pPr>
            <w:r>
              <w:rPr>
                <w:rFonts w:ascii="Arial" w:eastAsia="Arial" w:hAnsi="Arial" w:cs="Arial"/>
              </w:rPr>
              <w:t xml:space="preserve">tolstoy@ncbi.nlm.nih.gov; </w:t>
            </w:r>
            <w:r>
              <w:rPr>
                <w:rFonts w:ascii="Arial" w:eastAsia="Arial" w:hAnsi="Arial" w:cs="Arial"/>
              </w:rPr>
              <w:br/>
              <w:t>liliana.cristina.moraru@uni-oldenburg.de;</w:t>
            </w:r>
          </w:p>
          <w:p w14:paraId="6FE3E5D8" w14:textId="77777777" w:rsidR="0009707F" w:rsidRDefault="000A22F2">
            <w:pPr>
              <w:rPr>
                <w:rFonts w:ascii="Arial" w:eastAsia="Arial" w:hAnsi="Arial" w:cs="Arial"/>
                <w:sz w:val="22"/>
                <w:szCs w:val="22"/>
              </w:rPr>
            </w:pPr>
            <w:r>
              <w:rPr>
                <w:rFonts w:ascii="Arial" w:eastAsia="Arial" w:hAnsi="Arial" w:cs="Arial"/>
              </w:rPr>
              <w:t>Phage.Canada@gmail.com</w:t>
            </w:r>
          </w:p>
        </w:tc>
      </w:tr>
    </w:tbl>
    <w:p w14:paraId="282BB28C" w14:textId="77777777" w:rsidR="0009707F" w:rsidRDefault="000A22F2">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2F6D7808" w14:textId="77777777" w:rsidR="0009707F" w:rsidRDefault="0009707F">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13E27233" w14:textId="77777777">
        <w:tc>
          <w:tcPr>
            <w:tcW w:w="9072" w:type="dxa"/>
          </w:tcPr>
          <w:p w14:paraId="15A29636" w14:textId="77777777" w:rsidR="0009707F" w:rsidRDefault="000A22F2">
            <w:pPr>
              <w:rPr>
                <w:rFonts w:ascii="Arial" w:eastAsia="Arial" w:hAnsi="Arial" w:cs="Arial"/>
                <w:sz w:val="22"/>
                <w:szCs w:val="22"/>
              </w:rPr>
            </w:pPr>
            <w:r>
              <w:rPr>
                <w:rFonts w:ascii="Arial" w:eastAsia="Arial" w:hAnsi="Arial" w:cs="Arial"/>
                <w:sz w:val="22"/>
                <w:szCs w:val="22"/>
              </w:rPr>
              <w:t>University of the West of England, UK [DT]</w:t>
            </w:r>
          </w:p>
          <w:p w14:paraId="19695E27" w14:textId="77777777" w:rsidR="0009707F" w:rsidRDefault="000A22F2">
            <w:pPr>
              <w:rPr>
                <w:rFonts w:ascii="Arial" w:eastAsia="Arial" w:hAnsi="Arial" w:cs="Arial"/>
                <w:sz w:val="22"/>
                <w:szCs w:val="22"/>
              </w:rPr>
            </w:pPr>
            <w:r>
              <w:rPr>
                <w:rFonts w:ascii="Arial" w:eastAsia="Arial" w:hAnsi="Arial" w:cs="Arial"/>
                <w:sz w:val="22"/>
                <w:szCs w:val="22"/>
              </w:rPr>
              <w:t>Quadram Institute Bioscience, UK [EMA]</w:t>
            </w:r>
          </w:p>
          <w:p w14:paraId="7A4DAB0C" w14:textId="77777777" w:rsidR="0009707F" w:rsidRDefault="000A22F2">
            <w:pPr>
              <w:rPr>
                <w:rFonts w:ascii="Arial" w:eastAsia="Arial" w:hAnsi="Arial" w:cs="Arial"/>
                <w:sz w:val="22"/>
                <w:szCs w:val="22"/>
              </w:rPr>
            </w:pPr>
            <w:r>
              <w:rPr>
                <w:rFonts w:ascii="Arial" w:eastAsia="Arial" w:hAnsi="Arial" w:cs="Arial"/>
                <w:sz w:val="22"/>
                <w:szCs w:val="22"/>
              </w:rPr>
              <w:t>NCBI, USA [IT]</w:t>
            </w:r>
            <w:r>
              <w:rPr>
                <w:rFonts w:ascii="Arial" w:eastAsia="Arial" w:hAnsi="Arial" w:cs="Arial"/>
                <w:sz w:val="22"/>
                <w:szCs w:val="22"/>
              </w:rPr>
              <w:br/>
              <w:t>Institute for Chemistry and Biology of the Marine Environment, Germany [CM]</w:t>
            </w:r>
          </w:p>
          <w:p w14:paraId="10A7E3FF" w14:textId="77777777" w:rsidR="0009707F" w:rsidRDefault="000A22F2">
            <w:pPr>
              <w:rPr>
                <w:rFonts w:ascii="Arial" w:eastAsia="Arial" w:hAnsi="Arial" w:cs="Arial"/>
                <w:sz w:val="22"/>
                <w:szCs w:val="22"/>
              </w:rPr>
            </w:pPr>
            <w:r>
              <w:rPr>
                <w:rFonts w:ascii="Arial" w:eastAsia="Arial" w:hAnsi="Arial" w:cs="Arial"/>
                <w:sz w:val="22"/>
                <w:szCs w:val="22"/>
              </w:rPr>
              <w:t>University of Guelph, Canada [AMK]</w:t>
            </w:r>
          </w:p>
        </w:tc>
      </w:tr>
    </w:tbl>
    <w:p w14:paraId="7143C9B8" w14:textId="77777777" w:rsidR="0009707F" w:rsidRDefault="000A22F2">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6C563778" w14:textId="77777777">
        <w:tc>
          <w:tcPr>
            <w:tcW w:w="9072" w:type="dxa"/>
          </w:tcPr>
          <w:p w14:paraId="509E84B7" w14:textId="77777777" w:rsidR="0009707F" w:rsidRDefault="000A22F2">
            <w:pPr>
              <w:rPr>
                <w:rFonts w:ascii="Arial" w:eastAsia="Arial" w:hAnsi="Arial" w:cs="Arial"/>
                <w:sz w:val="22"/>
                <w:szCs w:val="22"/>
              </w:rPr>
            </w:pPr>
            <w:r>
              <w:rPr>
                <w:rFonts w:ascii="Arial" w:eastAsia="Arial" w:hAnsi="Arial" w:cs="Arial"/>
                <w:sz w:val="22"/>
                <w:szCs w:val="22"/>
              </w:rPr>
              <w:t>Andrew Kropinski</w:t>
            </w:r>
          </w:p>
        </w:tc>
      </w:tr>
    </w:tbl>
    <w:p w14:paraId="429AF260" w14:textId="77777777" w:rsidR="0009707F" w:rsidRDefault="000A22F2">
      <w:pPr>
        <w:spacing w:before="120" w:after="120"/>
        <w:rPr>
          <w:rFonts w:ascii="Arial" w:eastAsia="Arial" w:hAnsi="Arial" w:cs="Arial"/>
          <w:b/>
        </w:rPr>
      </w:pPr>
      <w:r>
        <w:rPr>
          <w:rFonts w:ascii="Arial" w:eastAsia="Arial" w:hAnsi="Arial" w:cs="Arial"/>
          <w:b/>
        </w:rPr>
        <w:t>List the ICTV Study Group(s) that have seen this proposal</w:t>
      </w:r>
    </w:p>
    <w:p w14:paraId="4D512969" w14:textId="77777777" w:rsidR="0009707F" w:rsidRDefault="0009707F">
      <w:pPr>
        <w:rPr>
          <w:rFonts w:ascii="Arial" w:eastAsia="Arial" w:hAnsi="Arial" w:cs="Arial"/>
          <w:color w:val="0000FF"/>
          <w:sz w:val="20"/>
          <w:szCs w:val="20"/>
        </w:rPr>
      </w:pPr>
    </w:p>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7FAE990D" w14:textId="77777777">
        <w:tc>
          <w:tcPr>
            <w:tcW w:w="9072" w:type="dxa"/>
          </w:tcPr>
          <w:p w14:paraId="3DAE877F" w14:textId="77777777" w:rsidR="0009707F" w:rsidRDefault="0009707F">
            <w:pPr>
              <w:rPr>
                <w:rFonts w:ascii="Arial" w:eastAsia="Arial" w:hAnsi="Arial" w:cs="Arial"/>
                <w:sz w:val="22"/>
                <w:szCs w:val="22"/>
              </w:rPr>
            </w:pPr>
          </w:p>
          <w:p w14:paraId="6B90F19E" w14:textId="77777777" w:rsidR="0009707F" w:rsidRDefault="000A22F2">
            <w:pPr>
              <w:rPr>
                <w:rFonts w:ascii="Arial" w:eastAsia="Arial" w:hAnsi="Arial" w:cs="Arial"/>
                <w:sz w:val="22"/>
                <w:szCs w:val="22"/>
              </w:rPr>
            </w:pPr>
            <w:r>
              <w:rPr>
                <w:rFonts w:ascii="Arial" w:eastAsia="Arial" w:hAnsi="Arial" w:cs="Arial"/>
                <w:sz w:val="22"/>
                <w:szCs w:val="22"/>
              </w:rPr>
              <w:t>Actinobacteriophages Study Group, Bacterial and Archaeal Viruses Subcommittee</w:t>
            </w:r>
          </w:p>
          <w:p w14:paraId="32923C7A" w14:textId="77777777" w:rsidR="0009707F" w:rsidRDefault="0009707F">
            <w:pPr>
              <w:rPr>
                <w:rFonts w:ascii="Arial" w:eastAsia="Arial" w:hAnsi="Arial" w:cs="Arial"/>
                <w:sz w:val="22"/>
                <w:szCs w:val="22"/>
              </w:rPr>
            </w:pPr>
          </w:p>
          <w:p w14:paraId="2F26D463" w14:textId="77777777" w:rsidR="0009707F" w:rsidRDefault="0009707F">
            <w:pPr>
              <w:rPr>
                <w:rFonts w:ascii="Arial" w:eastAsia="Arial" w:hAnsi="Arial" w:cs="Arial"/>
                <w:sz w:val="22"/>
                <w:szCs w:val="22"/>
              </w:rPr>
            </w:pPr>
          </w:p>
        </w:tc>
      </w:tr>
    </w:tbl>
    <w:p w14:paraId="683285AD" w14:textId="77777777" w:rsidR="0009707F" w:rsidRDefault="000A22F2">
      <w:pPr>
        <w:spacing w:before="120" w:after="120"/>
        <w:rPr>
          <w:rFonts w:ascii="Arial" w:eastAsia="Arial" w:hAnsi="Arial" w:cs="Arial"/>
          <w:b/>
        </w:rPr>
      </w:pPr>
      <w:r>
        <w:rPr>
          <w:rFonts w:ascii="Arial" w:eastAsia="Arial" w:hAnsi="Arial" w:cs="Arial"/>
          <w:b/>
        </w:rPr>
        <w:t>ICTV study group comments and response of proposer</w:t>
      </w:r>
    </w:p>
    <w:p w14:paraId="753F24B9" w14:textId="77777777" w:rsidR="0009707F" w:rsidRDefault="0009707F">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6B5A615A" w14:textId="77777777">
        <w:tc>
          <w:tcPr>
            <w:tcW w:w="9072" w:type="dxa"/>
          </w:tcPr>
          <w:p w14:paraId="1270B61C" w14:textId="77777777" w:rsidR="0009707F" w:rsidRDefault="0009707F">
            <w:pPr>
              <w:rPr>
                <w:rFonts w:ascii="Arial" w:eastAsia="Arial" w:hAnsi="Arial" w:cs="Arial"/>
                <w:sz w:val="22"/>
                <w:szCs w:val="22"/>
              </w:rPr>
            </w:pPr>
          </w:p>
          <w:p w14:paraId="09070F0A" w14:textId="77777777" w:rsidR="0009707F" w:rsidRDefault="0009707F">
            <w:pPr>
              <w:rPr>
                <w:rFonts w:ascii="Arial" w:eastAsia="Arial" w:hAnsi="Arial" w:cs="Arial"/>
                <w:sz w:val="22"/>
                <w:szCs w:val="22"/>
              </w:rPr>
            </w:pPr>
          </w:p>
          <w:p w14:paraId="6ED8B551" w14:textId="77777777" w:rsidR="0009707F" w:rsidRDefault="0009707F">
            <w:pPr>
              <w:rPr>
                <w:rFonts w:ascii="Arial" w:eastAsia="Arial" w:hAnsi="Arial" w:cs="Arial"/>
                <w:sz w:val="22"/>
                <w:szCs w:val="22"/>
              </w:rPr>
            </w:pPr>
          </w:p>
          <w:p w14:paraId="0AB0D798" w14:textId="77777777" w:rsidR="0009707F" w:rsidRDefault="0009707F">
            <w:pPr>
              <w:rPr>
                <w:rFonts w:ascii="Arial" w:eastAsia="Arial" w:hAnsi="Arial" w:cs="Arial"/>
                <w:sz w:val="22"/>
                <w:szCs w:val="22"/>
              </w:rPr>
            </w:pPr>
          </w:p>
          <w:p w14:paraId="3D4B9CBD" w14:textId="77777777" w:rsidR="0009707F" w:rsidRDefault="0009707F">
            <w:pPr>
              <w:rPr>
                <w:rFonts w:ascii="Arial" w:eastAsia="Arial" w:hAnsi="Arial" w:cs="Arial"/>
                <w:sz w:val="22"/>
                <w:szCs w:val="22"/>
              </w:rPr>
            </w:pPr>
          </w:p>
          <w:p w14:paraId="18C8D32F" w14:textId="77777777" w:rsidR="0009707F" w:rsidRDefault="0009707F">
            <w:pPr>
              <w:rPr>
                <w:rFonts w:ascii="Arial" w:eastAsia="Arial" w:hAnsi="Arial" w:cs="Arial"/>
                <w:sz w:val="22"/>
                <w:szCs w:val="22"/>
              </w:rPr>
            </w:pPr>
          </w:p>
        </w:tc>
      </w:tr>
    </w:tbl>
    <w:p w14:paraId="0555AB24" w14:textId="77777777" w:rsidR="0009707F" w:rsidRDefault="000A22F2">
      <w:pPr>
        <w:spacing w:before="120" w:after="120"/>
        <w:rPr>
          <w:rFonts w:ascii="Arial" w:eastAsia="Arial" w:hAnsi="Arial" w:cs="Arial"/>
          <w:b/>
        </w:rPr>
      </w:pPr>
      <w:r>
        <w:rPr>
          <w:rFonts w:ascii="Arial" w:eastAsia="Arial" w:hAnsi="Arial" w:cs="Arial"/>
          <w:b/>
        </w:rPr>
        <w:t>Authority to use the name of a living person</w:t>
      </w:r>
    </w:p>
    <w:p w14:paraId="429337DB" w14:textId="77777777" w:rsidR="0009707F" w:rsidRDefault="0009707F">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09707F" w14:paraId="25AF8230" w14:textId="77777777">
        <w:tc>
          <w:tcPr>
            <w:tcW w:w="7939" w:type="dxa"/>
            <w:shd w:val="clear" w:color="auto" w:fill="auto"/>
          </w:tcPr>
          <w:p w14:paraId="24D293BE" w14:textId="77777777" w:rsidR="0009707F" w:rsidRDefault="000A22F2">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3D7AA8EE" w14:textId="77777777" w:rsidR="0009707F" w:rsidRDefault="000A22F2">
            <w:r>
              <w:t>N</w:t>
            </w:r>
          </w:p>
        </w:tc>
      </w:tr>
    </w:tbl>
    <w:p w14:paraId="5922291A" w14:textId="77777777" w:rsidR="0009707F" w:rsidRDefault="0009707F">
      <w:pPr>
        <w:rPr>
          <w:rFonts w:ascii="Arial" w:eastAsia="Arial" w:hAnsi="Arial" w:cs="Arial"/>
          <w:color w:val="0000FF"/>
          <w:sz w:val="20"/>
          <w:szCs w:val="20"/>
        </w:rPr>
      </w:pPr>
    </w:p>
    <w:p w14:paraId="0E8FB718" w14:textId="77777777" w:rsidR="0009707F" w:rsidRDefault="0009707F">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3"/>
        <w:gridCol w:w="3402"/>
        <w:gridCol w:w="2977"/>
      </w:tblGrid>
      <w:tr w:rsidR="0009707F" w14:paraId="5405F6FD" w14:textId="77777777">
        <w:tc>
          <w:tcPr>
            <w:tcW w:w="2693" w:type="dxa"/>
          </w:tcPr>
          <w:p w14:paraId="3A6FD5BB" w14:textId="77777777" w:rsidR="0009707F" w:rsidRDefault="000A22F2">
            <w:pPr>
              <w:rPr>
                <w:rFonts w:ascii="Arial" w:eastAsia="Arial" w:hAnsi="Arial" w:cs="Arial"/>
                <w:b/>
                <w:color w:val="000000"/>
                <w:sz w:val="22"/>
                <w:szCs w:val="22"/>
              </w:rPr>
            </w:pPr>
            <w:r>
              <w:rPr>
                <w:rFonts w:ascii="Arial" w:eastAsia="Arial" w:hAnsi="Arial" w:cs="Arial"/>
                <w:b/>
                <w:color w:val="000000"/>
                <w:sz w:val="22"/>
                <w:szCs w:val="22"/>
              </w:rPr>
              <w:lastRenderedPageBreak/>
              <w:t>Taxon name</w:t>
            </w:r>
          </w:p>
        </w:tc>
        <w:tc>
          <w:tcPr>
            <w:tcW w:w="3402" w:type="dxa"/>
          </w:tcPr>
          <w:p w14:paraId="6F6741BE" w14:textId="77777777" w:rsidR="0009707F" w:rsidRDefault="000A22F2">
            <w:r>
              <w:rPr>
                <w:rFonts w:ascii="Arial" w:eastAsia="Arial" w:hAnsi="Arial" w:cs="Arial"/>
                <w:b/>
                <w:color w:val="000000"/>
                <w:sz w:val="22"/>
                <w:szCs w:val="22"/>
              </w:rPr>
              <w:t>Person from whom the name is derived</w:t>
            </w:r>
          </w:p>
        </w:tc>
        <w:tc>
          <w:tcPr>
            <w:tcW w:w="2977" w:type="dxa"/>
          </w:tcPr>
          <w:p w14:paraId="67521BEB" w14:textId="77777777" w:rsidR="0009707F" w:rsidRDefault="000A22F2">
            <w:r>
              <w:rPr>
                <w:rFonts w:ascii="Arial" w:eastAsia="Arial" w:hAnsi="Arial" w:cs="Arial"/>
                <w:b/>
                <w:color w:val="000000"/>
                <w:sz w:val="22"/>
                <w:szCs w:val="22"/>
              </w:rPr>
              <w:t>Permission attached (Y/N)</w:t>
            </w:r>
          </w:p>
        </w:tc>
      </w:tr>
      <w:tr w:rsidR="0009707F" w14:paraId="2715D4F6" w14:textId="77777777">
        <w:tc>
          <w:tcPr>
            <w:tcW w:w="2693" w:type="dxa"/>
          </w:tcPr>
          <w:p w14:paraId="03E121FA" w14:textId="77777777" w:rsidR="0009707F" w:rsidRDefault="0009707F">
            <w:pPr>
              <w:rPr>
                <w:rFonts w:ascii="Arial" w:eastAsia="Arial" w:hAnsi="Arial" w:cs="Arial"/>
                <w:sz w:val="22"/>
                <w:szCs w:val="22"/>
              </w:rPr>
            </w:pPr>
          </w:p>
        </w:tc>
        <w:tc>
          <w:tcPr>
            <w:tcW w:w="3402" w:type="dxa"/>
          </w:tcPr>
          <w:p w14:paraId="6EE13408" w14:textId="77777777" w:rsidR="0009707F" w:rsidRDefault="0009707F">
            <w:pPr>
              <w:rPr>
                <w:rFonts w:ascii="Arial" w:eastAsia="Arial" w:hAnsi="Arial" w:cs="Arial"/>
                <w:sz w:val="22"/>
                <w:szCs w:val="22"/>
              </w:rPr>
            </w:pPr>
          </w:p>
        </w:tc>
        <w:tc>
          <w:tcPr>
            <w:tcW w:w="2977" w:type="dxa"/>
          </w:tcPr>
          <w:p w14:paraId="50960A4C" w14:textId="77777777" w:rsidR="0009707F" w:rsidRDefault="0009707F">
            <w:pPr>
              <w:rPr>
                <w:rFonts w:ascii="Arial" w:eastAsia="Arial" w:hAnsi="Arial" w:cs="Arial"/>
                <w:sz w:val="22"/>
                <w:szCs w:val="22"/>
              </w:rPr>
            </w:pPr>
          </w:p>
        </w:tc>
      </w:tr>
      <w:tr w:rsidR="0009707F" w14:paraId="260138ED" w14:textId="77777777">
        <w:tc>
          <w:tcPr>
            <w:tcW w:w="2693" w:type="dxa"/>
          </w:tcPr>
          <w:p w14:paraId="0B97A28F" w14:textId="77777777" w:rsidR="0009707F" w:rsidRDefault="0009707F">
            <w:pPr>
              <w:rPr>
                <w:rFonts w:ascii="Arial" w:eastAsia="Arial" w:hAnsi="Arial" w:cs="Arial"/>
                <w:sz w:val="22"/>
                <w:szCs w:val="22"/>
              </w:rPr>
            </w:pPr>
          </w:p>
        </w:tc>
        <w:tc>
          <w:tcPr>
            <w:tcW w:w="3402" w:type="dxa"/>
          </w:tcPr>
          <w:p w14:paraId="5343FC79" w14:textId="77777777" w:rsidR="0009707F" w:rsidRDefault="0009707F">
            <w:pPr>
              <w:rPr>
                <w:rFonts w:ascii="Arial" w:eastAsia="Arial" w:hAnsi="Arial" w:cs="Arial"/>
                <w:sz w:val="22"/>
                <w:szCs w:val="22"/>
              </w:rPr>
            </w:pPr>
          </w:p>
        </w:tc>
        <w:tc>
          <w:tcPr>
            <w:tcW w:w="2977" w:type="dxa"/>
          </w:tcPr>
          <w:p w14:paraId="72399475" w14:textId="77777777" w:rsidR="0009707F" w:rsidRDefault="0009707F">
            <w:pPr>
              <w:rPr>
                <w:rFonts w:ascii="Arial" w:eastAsia="Arial" w:hAnsi="Arial" w:cs="Arial"/>
                <w:sz w:val="22"/>
                <w:szCs w:val="22"/>
              </w:rPr>
            </w:pPr>
          </w:p>
        </w:tc>
      </w:tr>
      <w:tr w:rsidR="0009707F" w14:paraId="43CEF841" w14:textId="77777777">
        <w:tc>
          <w:tcPr>
            <w:tcW w:w="2693" w:type="dxa"/>
          </w:tcPr>
          <w:p w14:paraId="17F1AFA5" w14:textId="77777777" w:rsidR="0009707F" w:rsidRDefault="0009707F">
            <w:pPr>
              <w:rPr>
                <w:rFonts w:ascii="Arial" w:eastAsia="Arial" w:hAnsi="Arial" w:cs="Arial"/>
                <w:sz w:val="22"/>
                <w:szCs w:val="22"/>
              </w:rPr>
            </w:pPr>
          </w:p>
        </w:tc>
        <w:tc>
          <w:tcPr>
            <w:tcW w:w="3402" w:type="dxa"/>
          </w:tcPr>
          <w:p w14:paraId="2DEC14B9" w14:textId="77777777" w:rsidR="0009707F" w:rsidRDefault="0009707F">
            <w:pPr>
              <w:rPr>
                <w:rFonts w:ascii="Arial" w:eastAsia="Arial" w:hAnsi="Arial" w:cs="Arial"/>
                <w:sz w:val="22"/>
                <w:szCs w:val="22"/>
              </w:rPr>
            </w:pPr>
          </w:p>
        </w:tc>
        <w:tc>
          <w:tcPr>
            <w:tcW w:w="2977" w:type="dxa"/>
          </w:tcPr>
          <w:p w14:paraId="54E3D77F" w14:textId="77777777" w:rsidR="0009707F" w:rsidRDefault="0009707F">
            <w:pPr>
              <w:rPr>
                <w:rFonts w:ascii="Arial" w:eastAsia="Arial" w:hAnsi="Arial" w:cs="Arial"/>
                <w:sz w:val="22"/>
                <w:szCs w:val="22"/>
              </w:rPr>
            </w:pPr>
          </w:p>
        </w:tc>
      </w:tr>
    </w:tbl>
    <w:p w14:paraId="7616BCA3" w14:textId="77777777" w:rsidR="0009707F" w:rsidRDefault="0009707F"/>
    <w:p w14:paraId="614FB00D" w14:textId="77777777" w:rsidR="0009707F" w:rsidRDefault="000A22F2">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09707F" w14:paraId="1D121D21" w14:textId="77777777">
        <w:tc>
          <w:tcPr>
            <w:tcW w:w="4820" w:type="dxa"/>
          </w:tcPr>
          <w:p w14:paraId="4921BFDC" w14:textId="77777777" w:rsidR="0009707F" w:rsidRDefault="000A22F2">
            <w:pPr>
              <w:rPr>
                <w:sz w:val="22"/>
                <w:szCs w:val="22"/>
              </w:rPr>
            </w:pPr>
            <w:r>
              <w:rPr>
                <w:rFonts w:ascii="Arial" w:eastAsia="Arial" w:hAnsi="Arial" w:cs="Arial"/>
                <w:sz w:val="22"/>
                <w:szCs w:val="22"/>
              </w:rPr>
              <w:t>Date first submitted to SC Chair</w:t>
            </w:r>
          </w:p>
        </w:tc>
        <w:tc>
          <w:tcPr>
            <w:tcW w:w="4252" w:type="dxa"/>
          </w:tcPr>
          <w:p w14:paraId="2ECA2C4C" w14:textId="77777777" w:rsidR="0009707F" w:rsidRDefault="0009707F">
            <w:pPr>
              <w:rPr>
                <w:sz w:val="22"/>
                <w:szCs w:val="22"/>
              </w:rPr>
            </w:pPr>
          </w:p>
        </w:tc>
      </w:tr>
      <w:tr w:rsidR="0009707F" w14:paraId="0384C634" w14:textId="77777777">
        <w:tc>
          <w:tcPr>
            <w:tcW w:w="4820" w:type="dxa"/>
          </w:tcPr>
          <w:p w14:paraId="5AF43355" w14:textId="77777777" w:rsidR="0009707F" w:rsidRDefault="000A22F2">
            <w:pPr>
              <w:rPr>
                <w:sz w:val="22"/>
                <w:szCs w:val="22"/>
              </w:rPr>
            </w:pPr>
            <w:r>
              <w:rPr>
                <w:rFonts w:ascii="Arial" w:eastAsia="Arial" w:hAnsi="Arial" w:cs="Arial"/>
                <w:sz w:val="22"/>
                <w:szCs w:val="22"/>
              </w:rPr>
              <w:t>Date of this revision (if different to above)</w:t>
            </w:r>
          </w:p>
        </w:tc>
        <w:tc>
          <w:tcPr>
            <w:tcW w:w="4252" w:type="dxa"/>
          </w:tcPr>
          <w:p w14:paraId="6562347F" w14:textId="77777777" w:rsidR="0009707F" w:rsidRDefault="0009707F">
            <w:pPr>
              <w:rPr>
                <w:sz w:val="22"/>
                <w:szCs w:val="22"/>
              </w:rPr>
            </w:pPr>
          </w:p>
        </w:tc>
      </w:tr>
    </w:tbl>
    <w:p w14:paraId="17B4791B" w14:textId="77777777" w:rsidR="0009707F" w:rsidRDefault="000A22F2">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6A7EFA45" w14:textId="77777777">
        <w:tc>
          <w:tcPr>
            <w:tcW w:w="9072" w:type="dxa"/>
          </w:tcPr>
          <w:p w14:paraId="0196CDD7" w14:textId="77777777" w:rsidR="0009707F" w:rsidRDefault="0009707F">
            <w:pPr>
              <w:rPr>
                <w:rFonts w:ascii="Arial" w:eastAsia="Arial" w:hAnsi="Arial" w:cs="Arial"/>
                <w:sz w:val="22"/>
                <w:szCs w:val="22"/>
              </w:rPr>
            </w:pPr>
          </w:p>
          <w:p w14:paraId="11635A18" w14:textId="6C365E90" w:rsidR="0009707F" w:rsidRDefault="000A22F2">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533307">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2B840BE9" w14:textId="77777777" w:rsidR="0009707F" w:rsidRDefault="0009707F">
            <w:pPr>
              <w:rPr>
                <w:rFonts w:ascii="Arial" w:eastAsia="Arial" w:hAnsi="Arial" w:cs="Arial"/>
                <w:sz w:val="22"/>
                <w:szCs w:val="22"/>
              </w:rPr>
            </w:pPr>
          </w:p>
          <w:p w14:paraId="03C9A9AD" w14:textId="77777777" w:rsidR="0009707F" w:rsidRDefault="0009707F">
            <w:pPr>
              <w:rPr>
                <w:rFonts w:ascii="Arial" w:eastAsia="Arial" w:hAnsi="Arial" w:cs="Arial"/>
                <w:sz w:val="22"/>
                <w:szCs w:val="22"/>
              </w:rPr>
            </w:pPr>
          </w:p>
        </w:tc>
      </w:tr>
    </w:tbl>
    <w:p w14:paraId="245415E7" w14:textId="77777777" w:rsidR="0009707F" w:rsidRDefault="0009707F">
      <w:pPr>
        <w:pBdr>
          <w:top w:val="nil"/>
          <w:left w:val="nil"/>
          <w:bottom w:val="nil"/>
          <w:right w:val="nil"/>
          <w:between w:val="nil"/>
        </w:pBdr>
        <w:spacing w:before="120" w:after="120"/>
        <w:rPr>
          <w:rFonts w:ascii="Arial" w:eastAsia="Arial" w:hAnsi="Arial" w:cs="Arial"/>
          <w:b/>
          <w:color w:val="000000"/>
        </w:rPr>
      </w:pPr>
    </w:p>
    <w:p w14:paraId="48D8FF35" w14:textId="77777777" w:rsidR="0009707F" w:rsidRDefault="000A22F2">
      <w:pPr>
        <w:rPr>
          <w:rFonts w:ascii="Arial" w:eastAsia="Arial" w:hAnsi="Arial" w:cs="Arial"/>
          <w:b/>
          <w:color w:val="000000"/>
        </w:rPr>
      </w:pPr>
      <w:r>
        <w:br w:type="page"/>
      </w:r>
    </w:p>
    <w:p w14:paraId="47C36840" w14:textId="77777777" w:rsidR="0009707F" w:rsidRDefault="000A22F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2E832A7B" w14:textId="77777777" w:rsidR="0009707F" w:rsidRDefault="000A22F2">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4788B241" w14:textId="77777777">
        <w:tc>
          <w:tcPr>
            <w:tcW w:w="9072" w:type="dxa"/>
          </w:tcPr>
          <w:p w14:paraId="7901723E" w14:textId="00E61184" w:rsidR="0009707F" w:rsidRDefault="000A22F2">
            <w:pPr>
              <w:spacing w:before="120" w:after="120"/>
              <w:rPr>
                <w:rFonts w:ascii="Arial" w:eastAsia="Arial" w:hAnsi="Arial" w:cs="Arial"/>
                <w:sz w:val="22"/>
                <w:szCs w:val="22"/>
              </w:rPr>
            </w:pPr>
            <w:r>
              <w:rPr>
                <w:rFonts w:ascii="Arial" w:eastAsia="Arial" w:hAnsi="Arial" w:cs="Arial"/>
                <w:sz w:val="22"/>
                <w:szCs w:val="22"/>
              </w:rPr>
              <w:t>2021.012B.</w:t>
            </w:r>
            <w:r w:rsidR="00EA7EB9">
              <w:rPr>
                <w:rFonts w:ascii="Arial" w:eastAsia="Arial" w:hAnsi="Arial" w:cs="Arial"/>
                <w:sz w:val="22"/>
                <w:szCs w:val="22"/>
              </w:rPr>
              <w:t>R</w:t>
            </w:r>
            <w:r>
              <w:rPr>
                <w:rFonts w:ascii="Arial" w:eastAsia="Arial" w:hAnsi="Arial" w:cs="Arial"/>
                <w:sz w:val="22"/>
                <w:szCs w:val="22"/>
              </w:rPr>
              <w:t>.Boydwoodruffvirinae</w:t>
            </w:r>
          </w:p>
        </w:tc>
      </w:tr>
    </w:tbl>
    <w:p w14:paraId="622B39A8" w14:textId="77777777" w:rsidR="0009707F" w:rsidRDefault="000A22F2">
      <w:pPr>
        <w:spacing w:before="120" w:after="120"/>
        <w:rPr>
          <w:rFonts w:ascii="Arial" w:eastAsia="Arial" w:hAnsi="Arial" w:cs="Arial"/>
          <w:color w:val="0000FF"/>
          <w:sz w:val="20"/>
          <w:szCs w:val="20"/>
        </w:rPr>
      </w:pPr>
      <w:r>
        <w:rPr>
          <w:rFonts w:ascii="Arial" w:eastAsia="Arial" w:hAnsi="Arial" w:cs="Arial"/>
          <w:b/>
        </w:rPr>
        <w:t>Abstract</w:t>
      </w:r>
    </w:p>
    <w:p w14:paraId="2F4FDE44" w14:textId="77777777" w:rsidR="0009707F" w:rsidRDefault="0009707F">
      <w:pPr>
        <w:spacing w:before="120" w:after="120"/>
        <w:rPr>
          <w:rFonts w:ascii="Arial" w:eastAsia="Arial" w:hAnsi="Arial" w:cs="Arial"/>
          <w:color w:val="0000FF"/>
          <w:sz w:val="20"/>
          <w:szCs w:val="20"/>
        </w:rPr>
      </w:pP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09707F" w14:paraId="0AC58F21" w14:textId="77777777">
        <w:tc>
          <w:tcPr>
            <w:tcW w:w="9072" w:type="dxa"/>
          </w:tcPr>
          <w:p w14:paraId="260E9053" w14:textId="77777777" w:rsidR="0009707F" w:rsidRDefault="000A22F2">
            <w:pPr>
              <w:rPr>
                <w:rFonts w:ascii="Arial" w:eastAsia="Arial" w:hAnsi="Arial" w:cs="Arial"/>
                <w:sz w:val="22"/>
                <w:szCs w:val="22"/>
              </w:rPr>
            </w:pPr>
            <w:r>
              <w:rPr>
                <w:rFonts w:ascii="Arial" w:eastAsia="Arial" w:hAnsi="Arial" w:cs="Arial"/>
                <w:sz w:val="22"/>
                <w:szCs w:val="22"/>
              </w:rPr>
              <w:t xml:space="preserve">We have chosen to create a new subfamily named in honour of the American soil microbiologist H. Boyd Woodruff to contain two existing related genera - </w:t>
            </w:r>
            <w:r>
              <w:rPr>
                <w:rFonts w:ascii="Arial" w:eastAsia="Arial" w:hAnsi="Arial" w:cs="Arial"/>
                <w:i/>
                <w:sz w:val="22"/>
                <w:szCs w:val="22"/>
              </w:rPr>
              <w:t>Karimacvirus</w:t>
            </w:r>
            <w:r>
              <w:rPr>
                <w:rFonts w:ascii="Arial" w:eastAsia="Arial" w:hAnsi="Arial" w:cs="Arial"/>
                <w:sz w:val="22"/>
                <w:szCs w:val="22"/>
              </w:rPr>
              <w:t xml:space="preserve"> (Taxonomy Proposal 2020.081B) and </w:t>
            </w:r>
            <w:r>
              <w:rPr>
                <w:rFonts w:ascii="Arial" w:eastAsia="Arial" w:hAnsi="Arial" w:cs="Arial"/>
                <w:i/>
                <w:sz w:val="22"/>
                <w:szCs w:val="22"/>
              </w:rPr>
              <w:t>Samistivirus</w:t>
            </w:r>
            <w:r>
              <w:rPr>
                <w:rFonts w:ascii="Arial" w:eastAsia="Arial" w:hAnsi="Arial" w:cs="Arial"/>
                <w:sz w:val="22"/>
                <w:szCs w:val="22"/>
              </w:rPr>
              <w:t xml:space="preserve"> (Taxonomy Proposal 2018.055B).</w:t>
            </w:r>
          </w:p>
          <w:p w14:paraId="17C38DC8" w14:textId="77777777" w:rsidR="0009707F" w:rsidRDefault="0009707F">
            <w:pPr>
              <w:rPr>
                <w:rFonts w:ascii="Arial" w:eastAsia="Arial" w:hAnsi="Arial" w:cs="Arial"/>
                <w:b/>
                <w:sz w:val="22"/>
                <w:szCs w:val="22"/>
              </w:rPr>
            </w:pPr>
          </w:p>
          <w:p w14:paraId="4422EC07" w14:textId="77777777" w:rsidR="0009707F" w:rsidRDefault="0009707F">
            <w:pPr>
              <w:rPr>
                <w:rFonts w:ascii="Arial" w:eastAsia="Arial" w:hAnsi="Arial" w:cs="Arial"/>
                <w:b/>
                <w:sz w:val="22"/>
                <w:szCs w:val="22"/>
              </w:rPr>
            </w:pPr>
          </w:p>
        </w:tc>
      </w:tr>
    </w:tbl>
    <w:p w14:paraId="58109C82" w14:textId="77777777" w:rsidR="0009707F" w:rsidRDefault="000A22F2">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09707F" w14:paraId="610DD1E2" w14:textId="77777777">
        <w:trPr>
          <w:trHeight w:val="1566"/>
        </w:trPr>
        <w:tc>
          <w:tcPr>
            <w:tcW w:w="9228" w:type="dxa"/>
          </w:tcPr>
          <w:p w14:paraId="105117EC" w14:textId="77777777" w:rsidR="0009707F" w:rsidRDefault="0009707F">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c"/>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09707F" w14:paraId="6262D88C" w14:textId="77777777">
              <w:tc>
                <w:tcPr>
                  <w:tcW w:w="9002" w:type="dxa"/>
                </w:tcPr>
                <w:p w14:paraId="120F7368" w14:textId="77777777" w:rsidR="0009707F" w:rsidRDefault="000A22F2">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75CB18DF" w14:textId="77777777" w:rsidR="0009707F" w:rsidRDefault="000A22F2">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0B8616C8" w14:textId="77777777" w:rsidR="0009707F" w:rsidRDefault="0009707F">
                  <w:pPr>
                    <w:rPr>
                      <w:rFonts w:ascii="Arial" w:eastAsia="Arial" w:hAnsi="Arial" w:cs="Arial"/>
                      <w:color w:val="0000FF"/>
                      <w:sz w:val="22"/>
                      <w:szCs w:val="22"/>
                    </w:rPr>
                  </w:pPr>
                </w:p>
                <w:p w14:paraId="32249C32" w14:textId="77777777" w:rsidR="0009707F" w:rsidRDefault="000A22F2">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p>
                <w:p w14:paraId="41890414" w14:textId="77777777" w:rsidR="0009707F" w:rsidRDefault="0009707F">
                  <w:pPr>
                    <w:rPr>
                      <w:rFonts w:ascii="Arial" w:eastAsia="Arial" w:hAnsi="Arial" w:cs="Arial"/>
                      <w:sz w:val="22"/>
                      <w:szCs w:val="22"/>
                    </w:rPr>
                  </w:pPr>
                </w:p>
                <w:p w14:paraId="406E4BE8" w14:textId="77777777" w:rsidR="0009707F" w:rsidRDefault="000A22F2">
                  <w:pPr>
                    <w:rPr>
                      <w:rFonts w:ascii="Arial" w:eastAsia="Arial" w:hAnsi="Arial" w:cs="Arial"/>
                      <w:color w:val="0000FF"/>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Subfamilies are to be created when two or more genera are related below the family level. In practical terms, this usually means that they share a low degree of sequence similarity and that the genera form a clade in a marker tree phylogeny. [9]</w:t>
                  </w:r>
                </w:p>
              </w:tc>
            </w:tr>
          </w:tbl>
          <w:p w14:paraId="051A67D4" w14:textId="77777777" w:rsidR="0009707F" w:rsidRDefault="0009707F">
            <w:pPr>
              <w:rPr>
                <w:rFonts w:ascii="Arial" w:eastAsia="Arial" w:hAnsi="Arial" w:cs="Arial"/>
                <w:color w:val="0000FF"/>
                <w:sz w:val="20"/>
                <w:szCs w:val="20"/>
              </w:rPr>
            </w:pPr>
          </w:p>
        </w:tc>
      </w:tr>
    </w:tbl>
    <w:p w14:paraId="6A39A8D6" w14:textId="77777777" w:rsidR="0009707F" w:rsidRDefault="000A22F2">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410EFC7F" w14:textId="77777777" w:rsidR="0009707F" w:rsidRDefault="0009707F">
      <w:pPr>
        <w:pBdr>
          <w:top w:val="nil"/>
          <w:left w:val="nil"/>
          <w:bottom w:val="nil"/>
          <w:right w:val="nil"/>
          <w:between w:val="nil"/>
        </w:pBdr>
        <w:spacing w:before="120" w:after="120"/>
        <w:rPr>
          <w:rFonts w:ascii="Arial" w:eastAsia="Arial" w:hAnsi="Arial" w:cs="Arial"/>
          <w:b/>
          <w:color w:val="000000"/>
        </w:rPr>
      </w:pPr>
    </w:p>
    <w:p w14:paraId="76F97D68" w14:textId="77777777" w:rsidR="0009707F" w:rsidRDefault="000A22F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8">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The phages of interest are  indicated with </w:t>
      </w:r>
      <w:r>
        <w:rPr>
          <w:rFonts w:ascii="Arial" w:eastAsia="Arial" w:hAnsi="Arial" w:cs="Arial"/>
          <w:b/>
          <w:color w:val="FF0000"/>
          <w:sz w:val="22"/>
          <w:szCs w:val="22"/>
        </w:rPr>
        <w:t>red lines</w:t>
      </w:r>
      <w:r>
        <w:rPr>
          <w:rFonts w:ascii="Arial" w:eastAsia="Arial" w:hAnsi="Arial" w:cs="Arial"/>
          <w:color w:val="000000"/>
          <w:sz w:val="22"/>
          <w:szCs w:val="22"/>
        </w:rPr>
        <w:t>.</w:t>
      </w:r>
    </w:p>
    <w:p w14:paraId="5C4D06DA" w14:textId="77777777" w:rsidR="0009707F" w:rsidRDefault="000A22F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3F05E21C" wp14:editId="5FC0287B">
            <wp:extent cx="5727700" cy="3420745"/>
            <wp:effectExtent l="0" t="0" r="0" b="0"/>
            <wp:docPr id="2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27700" cy="3420745"/>
                    </a:xfrm>
                    <a:prstGeom prst="rect">
                      <a:avLst/>
                    </a:prstGeom>
                    <a:ln/>
                  </pic:spPr>
                </pic:pic>
              </a:graphicData>
            </a:graphic>
          </wp:inline>
        </w:drawing>
      </w:r>
    </w:p>
    <w:p w14:paraId="120CADA5" w14:textId="77777777" w:rsidR="0009707F" w:rsidRDefault="000A22F2">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br/>
      </w:r>
    </w:p>
    <w:p w14:paraId="0B6E3B42" w14:textId="77777777" w:rsidR="0009707F" w:rsidRDefault="000A22F2">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VIRIDIC heat map: </w:t>
      </w:r>
      <w:r>
        <w:rPr>
          <w:rFonts w:ascii="Arial" w:eastAsia="Arial" w:hAnsi="Arial" w:cs="Arial"/>
          <w:color w:val="000000"/>
          <w:sz w:val="22"/>
          <w:szCs w:val="22"/>
        </w:rPr>
        <w:t xml:space="preserve">VIRIDIC (Virus Intergenomic Distance Calculator; [3]; </w:t>
      </w:r>
      <w:hyperlink r:id="rId10">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computes pairwise intergenomic distances/similarities amongst phage genomes. Strains are indicated by boxes.  The green and gold enhanced names are of recognized species, while the yellowed named are new species.</w:t>
      </w:r>
    </w:p>
    <w:p w14:paraId="1EE3FBD1" w14:textId="77777777" w:rsidR="0009707F" w:rsidRDefault="000A22F2">
      <w:pPr>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69DDEE7E" wp14:editId="021342A0">
            <wp:extent cx="5727700" cy="2442845"/>
            <wp:effectExtent l="0" t="0" r="0" b="0"/>
            <wp:docPr id="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5727700" cy="2442845"/>
                    </a:xfrm>
                    <a:prstGeom prst="rect">
                      <a:avLst/>
                    </a:prstGeom>
                    <a:ln/>
                  </pic:spPr>
                </pic:pic>
              </a:graphicData>
            </a:graphic>
          </wp:inline>
        </w:drawing>
      </w:r>
    </w:p>
    <w:p w14:paraId="2B40342E" w14:textId="77777777" w:rsidR="0009707F" w:rsidRDefault="000A22F2">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 xml:space="preserve">The phylogenetic tree was constructed using the major capsid proteins of </w:t>
      </w:r>
      <w:r>
        <w:rPr>
          <w:rFonts w:ascii="Arial" w:eastAsia="Arial" w:hAnsi="Arial" w:cs="Arial"/>
          <w:i/>
        </w:rPr>
        <w:t>Boydwoodruffvirinae</w:t>
      </w:r>
      <w:r>
        <w:rPr>
          <w:rFonts w:ascii="Arial" w:eastAsia="Arial" w:hAnsi="Arial" w:cs="Arial"/>
          <w:i/>
          <w:sz w:val="22"/>
          <w:szCs w:val="22"/>
        </w:rPr>
        <w:t xml:space="preserve"> </w:t>
      </w:r>
      <w:r>
        <w:rPr>
          <w:rFonts w:ascii="Arial" w:eastAsia="Arial" w:hAnsi="Arial" w:cs="Arial"/>
          <w:sz w:val="22"/>
          <w:szCs w:val="22"/>
        </w:rPr>
        <w:t xml:space="preserve">phages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w:t>
      </w:r>
      <w:r>
        <w:rPr>
          <w:rFonts w:ascii="Arial" w:eastAsia="Arial" w:hAnsi="Arial" w:cs="Arial"/>
          <w:sz w:val="22"/>
          <w:szCs w:val="22"/>
        </w:rPr>
        <w:lastRenderedPageBreak/>
        <w:t>compute. See: Anisimova M., Gascuel O. Approximate likelihood ratio test for branches: A fast, accurate and powerful alternative [6] for details."</w:t>
      </w:r>
    </w:p>
    <w:p w14:paraId="591E857A" w14:textId="77777777" w:rsidR="0009707F" w:rsidRDefault="0009707F">
      <w:pPr>
        <w:rPr>
          <w:rFonts w:ascii="Arial" w:eastAsia="Arial" w:hAnsi="Arial" w:cs="Arial"/>
          <w:b/>
          <w:sz w:val="22"/>
          <w:szCs w:val="22"/>
        </w:rPr>
      </w:pPr>
    </w:p>
    <w:p w14:paraId="02F37F14" w14:textId="77777777" w:rsidR="0009707F" w:rsidRDefault="000A22F2">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noProof/>
          <w:color w:val="000000"/>
        </w:rPr>
        <w:drawing>
          <wp:inline distT="0" distB="0" distL="0" distR="0" wp14:anchorId="37EFA85A" wp14:editId="001A4F55">
            <wp:extent cx="5727700" cy="4895850"/>
            <wp:effectExtent l="0" t="0" r="0" b="0"/>
            <wp:docPr id="2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5727700" cy="4895850"/>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14:anchorId="0C6210B3" wp14:editId="29276BF0">
                <wp:simplePos x="0" y="0"/>
                <wp:positionH relativeFrom="column">
                  <wp:posOffset>1689100</wp:posOffset>
                </wp:positionH>
                <wp:positionV relativeFrom="paragraph">
                  <wp:posOffset>431800</wp:posOffset>
                </wp:positionV>
                <wp:extent cx="3603625" cy="2308225"/>
                <wp:effectExtent l="0" t="0" r="0" b="0"/>
                <wp:wrapNone/>
                <wp:docPr id="20" name="Rectangle 20"/>
                <wp:cNvGraphicFramePr/>
                <a:graphic xmlns:a="http://schemas.openxmlformats.org/drawingml/2006/main">
                  <a:graphicData uri="http://schemas.microsoft.com/office/word/2010/wordprocessingShape">
                    <wps:wsp>
                      <wps:cNvSpPr/>
                      <wps:spPr>
                        <a:xfrm>
                          <a:off x="3558475" y="2640175"/>
                          <a:ext cx="3575050" cy="2279650"/>
                        </a:xfrm>
                        <a:prstGeom prst="rect">
                          <a:avLst/>
                        </a:prstGeom>
                        <a:noFill/>
                        <a:ln w="28575" cap="flat" cmpd="sng">
                          <a:solidFill>
                            <a:srgbClr val="31538F"/>
                          </a:solidFill>
                          <a:prstDash val="solid"/>
                          <a:miter lim="800000"/>
                          <a:headEnd type="none" w="sm" len="sm"/>
                          <a:tailEnd type="none" w="sm" len="sm"/>
                        </a:ln>
                      </wps:spPr>
                      <wps:txbx>
                        <w:txbxContent>
                          <w:p w14:paraId="56D76D10" w14:textId="77777777" w:rsidR="0009707F" w:rsidRDefault="0009707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1689100</wp:posOffset>
                </wp:positionH>
                <wp:positionV relativeFrom="paragraph">
                  <wp:posOffset>431800</wp:posOffset>
                </wp:positionV>
                <wp:extent cx="3603625" cy="2308225"/>
                <wp:effectExtent b="0" l="0" r="0" t="0"/>
                <wp:wrapNone/>
                <wp:docPr id="20" name="image9.png"/>
                <a:graphic>
                  <a:graphicData uri="http://schemas.openxmlformats.org/drawingml/2006/picture">
                    <pic:pic>
                      <pic:nvPicPr>
                        <pic:cNvPr id="0" name="image9.png"/>
                        <pic:cNvPicPr preferRelativeResize="0"/>
                      </pic:nvPicPr>
                      <pic:blipFill>
                        <a:blip r:embed="rId13"/>
                        <a:srcRect/>
                        <a:stretch>
                          <a:fillRect/>
                        </a:stretch>
                      </pic:blipFill>
                      <pic:spPr>
                        <a:xfrm>
                          <a:off x="0" y="0"/>
                          <a:ext cx="3603625" cy="2308225"/>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68648DEC" wp14:editId="74A58D15">
                <wp:simplePos x="0" y="0"/>
                <wp:positionH relativeFrom="column">
                  <wp:posOffset>1701800</wp:posOffset>
                </wp:positionH>
                <wp:positionV relativeFrom="paragraph">
                  <wp:posOffset>2705100</wp:posOffset>
                </wp:positionV>
                <wp:extent cx="3603625" cy="1984375"/>
                <wp:effectExtent l="0" t="0" r="0" b="0"/>
                <wp:wrapNone/>
                <wp:docPr id="19" name="Rectangle 19"/>
                <wp:cNvGraphicFramePr/>
                <a:graphic xmlns:a="http://schemas.openxmlformats.org/drawingml/2006/main">
                  <a:graphicData uri="http://schemas.microsoft.com/office/word/2010/wordprocessingShape">
                    <wps:wsp>
                      <wps:cNvSpPr/>
                      <wps:spPr>
                        <a:xfrm>
                          <a:off x="3558475" y="2802100"/>
                          <a:ext cx="3575050" cy="1955800"/>
                        </a:xfrm>
                        <a:prstGeom prst="rect">
                          <a:avLst/>
                        </a:prstGeom>
                        <a:noFill/>
                        <a:ln w="28575" cap="flat" cmpd="sng">
                          <a:solidFill>
                            <a:srgbClr val="FF0000"/>
                          </a:solidFill>
                          <a:prstDash val="solid"/>
                          <a:miter lim="800000"/>
                          <a:headEnd type="none" w="sm" len="sm"/>
                          <a:tailEnd type="none" w="sm" len="sm"/>
                        </a:ln>
                      </wps:spPr>
                      <wps:txbx>
                        <w:txbxContent>
                          <w:p w14:paraId="3FCFBA0A" w14:textId="77777777" w:rsidR="0009707F" w:rsidRDefault="0009707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1701800</wp:posOffset>
                </wp:positionH>
                <wp:positionV relativeFrom="paragraph">
                  <wp:posOffset>2705100</wp:posOffset>
                </wp:positionV>
                <wp:extent cx="3603625" cy="1984375"/>
                <wp:effectExtent b="0" l="0" r="0" t="0"/>
                <wp:wrapNone/>
                <wp:docPr id="19" name="image8.png"/>
                <a:graphic>
                  <a:graphicData uri="http://schemas.openxmlformats.org/drawingml/2006/picture">
                    <pic:pic>
                      <pic:nvPicPr>
                        <pic:cNvPr id="0" name="image8.png"/>
                        <pic:cNvPicPr preferRelativeResize="0"/>
                      </pic:nvPicPr>
                      <pic:blipFill>
                        <a:blip r:embed="rId14"/>
                        <a:srcRect/>
                        <a:stretch>
                          <a:fillRect/>
                        </a:stretch>
                      </pic:blipFill>
                      <pic:spPr>
                        <a:xfrm>
                          <a:off x="0" y="0"/>
                          <a:ext cx="3603625" cy="1984375"/>
                        </a:xfrm>
                        <a:prstGeom prst="rect"/>
                        <a:ln/>
                      </pic:spPr>
                    </pic:pic>
                  </a:graphicData>
                </a:graphic>
              </wp:anchor>
            </w:drawing>
          </mc:Fallback>
        </mc:AlternateContent>
      </w:r>
    </w:p>
    <w:p w14:paraId="525EC901" w14:textId="77777777" w:rsidR="0009707F" w:rsidRDefault="000A22F2">
      <w:pPr>
        <w:rPr>
          <w:rFonts w:ascii="Arial" w:eastAsia="Arial" w:hAnsi="Arial" w:cs="Arial"/>
          <w:sz w:val="20"/>
          <w:szCs w:val="20"/>
        </w:rPr>
      </w:pPr>
      <w:r>
        <w:rPr>
          <w:rFonts w:ascii="Arial" w:eastAsia="Arial" w:hAnsi="Arial" w:cs="Arial"/>
          <w:b/>
          <w:color w:val="0000FF"/>
          <w:sz w:val="20"/>
          <w:szCs w:val="20"/>
        </w:rPr>
        <w:t xml:space="preserve">Source of the name of this taxon:  </w:t>
      </w:r>
      <w:r>
        <w:rPr>
          <w:rFonts w:ascii="Arial" w:eastAsia="Arial" w:hAnsi="Arial" w:cs="Arial"/>
          <w:sz w:val="20"/>
          <w:szCs w:val="20"/>
        </w:rPr>
        <w:t>This subfamily is named in honour of American soil microbiologist and member of the National Academy of Sciences Harold Boyd Woodruff (1917 – 2017).  He obtained his Ph.D. from Rutgers University where his advisor was Selman Waksman. In his doctoral work, he discovered the antibiotics actinomycin and streptothricin.  He spent his career as a researcher at Merck &amp; Co.</w:t>
      </w:r>
    </w:p>
    <w:p w14:paraId="195201B0" w14:textId="77777777" w:rsidR="0009707F" w:rsidRDefault="000A22F2">
      <w:pPr>
        <w:jc w:val="center"/>
        <w:rPr>
          <w:rFonts w:ascii="Arial" w:eastAsia="Arial" w:hAnsi="Arial" w:cs="Arial"/>
          <w:sz w:val="20"/>
          <w:szCs w:val="20"/>
        </w:rPr>
      </w:pPr>
      <w:r>
        <w:rPr>
          <w:rFonts w:ascii="Arial" w:eastAsia="Arial" w:hAnsi="Arial" w:cs="Arial"/>
          <w:noProof/>
          <w:sz w:val="20"/>
          <w:szCs w:val="20"/>
        </w:rPr>
        <w:drawing>
          <wp:inline distT="0" distB="0" distL="0" distR="0" wp14:anchorId="0E2247D5" wp14:editId="542A6AC1">
            <wp:extent cx="3631478" cy="2548074"/>
            <wp:effectExtent l="0" t="0" r="0" b="0"/>
            <wp:docPr id="2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3631478" cy="2548074"/>
                    </a:xfrm>
                    <a:prstGeom prst="rect">
                      <a:avLst/>
                    </a:prstGeom>
                    <a:ln/>
                  </pic:spPr>
                </pic:pic>
              </a:graphicData>
            </a:graphic>
          </wp:inline>
        </w:drawing>
      </w:r>
    </w:p>
    <w:p w14:paraId="7A176AA4" w14:textId="77777777" w:rsidR="0009707F" w:rsidRDefault="000A22F2">
      <w:pPr>
        <w:rPr>
          <w:rFonts w:ascii="Arial" w:eastAsia="Arial" w:hAnsi="Arial" w:cs="Arial"/>
          <w:sz w:val="20"/>
          <w:szCs w:val="20"/>
        </w:rPr>
      </w:pPr>
      <w:r>
        <w:rPr>
          <w:rFonts w:ascii="Arial" w:eastAsia="Arial" w:hAnsi="Arial" w:cs="Arial"/>
          <w:sz w:val="20"/>
          <w:szCs w:val="20"/>
        </w:rPr>
        <w:lastRenderedPageBreak/>
        <w:t xml:space="preserve">(Woodruff (right) in 1940; from: </w:t>
      </w:r>
      <w:hyperlink r:id="rId16">
        <w:r>
          <w:rPr>
            <w:rFonts w:ascii="Arial" w:eastAsia="Arial" w:hAnsi="Arial" w:cs="Arial"/>
            <w:color w:val="0000FF"/>
            <w:sz w:val="20"/>
            <w:szCs w:val="20"/>
            <w:u w:val="single"/>
          </w:rPr>
          <w:t>https://www.nytimes.com/2017/02/03/science/h-boyd-woodruff-dead-antibiotics-researcher.html</w:t>
        </w:r>
      </w:hyperlink>
      <w:r>
        <w:rPr>
          <w:rFonts w:ascii="Arial" w:eastAsia="Arial" w:hAnsi="Arial" w:cs="Arial"/>
          <w:sz w:val="20"/>
          <w:szCs w:val="20"/>
        </w:rPr>
        <w:t>).</w:t>
      </w:r>
    </w:p>
    <w:p w14:paraId="6F630E23" w14:textId="77777777" w:rsidR="0009707F" w:rsidRDefault="0009707F">
      <w:pPr>
        <w:rPr>
          <w:rFonts w:ascii="Arial" w:eastAsia="Arial" w:hAnsi="Arial" w:cs="Arial"/>
          <w:sz w:val="20"/>
          <w:szCs w:val="20"/>
        </w:rPr>
      </w:pPr>
    </w:p>
    <w:p w14:paraId="46223898" w14:textId="77777777" w:rsidR="0009707F" w:rsidRDefault="0009707F">
      <w:pPr>
        <w:rPr>
          <w:rFonts w:ascii="Arial" w:eastAsia="Arial" w:hAnsi="Arial" w:cs="Arial"/>
          <w:sz w:val="20"/>
          <w:szCs w:val="20"/>
        </w:rPr>
      </w:pPr>
    </w:p>
    <w:p w14:paraId="29E1FE01" w14:textId="77777777" w:rsidR="0009707F" w:rsidRDefault="000A22F2">
      <w:pPr>
        <w:rPr>
          <w:rFonts w:ascii="Arial" w:eastAsia="Arial" w:hAnsi="Arial" w:cs="Arial"/>
          <w:sz w:val="20"/>
          <w:szCs w:val="20"/>
        </w:rPr>
      </w:pPr>
      <w:bookmarkStart w:id="0" w:name="_heading=h.gjdgxs" w:colFirst="0" w:colLast="0"/>
      <w:bookmarkEnd w:id="0"/>
      <w:r>
        <w:rPr>
          <w:rFonts w:ascii="Arial" w:eastAsia="Arial" w:hAnsi="Arial" w:cs="Arial"/>
          <w:b/>
          <w:color w:val="0000FF"/>
          <w:sz w:val="20"/>
          <w:szCs w:val="20"/>
        </w:rPr>
        <w:t xml:space="preserve">History:  </w:t>
      </w:r>
      <w:r>
        <w:rPr>
          <w:rFonts w:ascii="Arial" w:eastAsia="Arial" w:hAnsi="Arial" w:cs="Arial"/>
          <w:sz w:val="20"/>
          <w:szCs w:val="20"/>
        </w:rPr>
        <w:t xml:space="preserve">This subfamily contains two genera: </w:t>
      </w:r>
      <w:r>
        <w:rPr>
          <w:rFonts w:ascii="Arial" w:eastAsia="Arial" w:hAnsi="Arial" w:cs="Arial"/>
          <w:i/>
          <w:sz w:val="20"/>
          <w:szCs w:val="20"/>
        </w:rPr>
        <w:t>Karimacvirus</w:t>
      </w:r>
      <w:r>
        <w:rPr>
          <w:rFonts w:ascii="Arial" w:eastAsia="Arial" w:hAnsi="Arial" w:cs="Arial"/>
          <w:sz w:val="20"/>
          <w:szCs w:val="20"/>
        </w:rPr>
        <w:t xml:space="preserve"> (Taxonomy Proposal 2020.081B) and </w:t>
      </w:r>
      <w:r>
        <w:rPr>
          <w:rFonts w:ascii="Arial" w:eastAsia="Arial" w:hAnsi="Arial" w:cs="Arial"/>
          <w:i/>
          <w:sz w:val="20"/>
          <w:szCs w:val="20"/>
        </w:rPr>
        <w:t>Samistivirus</w:t>
      </w:r>
      <w:r>
        <w:rPr>
          <w:rFonts w:ascii="Arial" w:eastAsia="Arial" w:hAnsi="Arial" w:cs="Arial"/>
          <w:sz w:val="20"/>
          <w:szCs w:val="20"/>
        </w:rPr>
        <w:t xml:space="preserve">  (Taxonomy Proposal 2018.055B). Phages belonging to the latter genus belong to The Actinobacteriophage Database Cluster BE/Subcluster BE1, while the </w:t>
      </w:r>
      <w:r>
        <w:rPr>
          <w:rFonts w:ascii="Arial" w:eastAsia="Arial" w:hAnsi="Arial" w:cs="Arial"/>
          <w:i/>
          <w:sz w:val="20"/>
          <w:szCs w:val="20"/>
        </w:rPr>
        <w:t>Karimacvirus</w:t>
      </w:r>
      <w:r>
        <w:rPr>
          <w:rFonts w:ascii="Arial" w:eastAsia="Arial" w:hAnsi="Arial" w:cs="Arial"/>
          <w:sz w:val="20"/>
          <w:szCs w:val="20"/>
        </w:rPr>
        <w:t xml:space="preserve"> members are part of Cluster BE/Subcluster BE2.  Here we proposed five new species in the genus </w:t>
      </w:r>
      <w:r>
        <w:rPr>
          <w:rFonts w:ascii="Arial" w:eastAsia="Arial" w:hAnsi="Arial" w:cs="Arial"/>
          <w:i/>
          <w:sz w:val="20"/>
          <w:szCs w:val="20"/>
        </w:rPr>
        <w:t>Samistivirus</w:t>
      </w:r>
      <w:r>
        <w:rPr>
          <w:rFonts w:ascii="Arial" w:eastAsia="Arial" w:hAnsi="Arial" w:cs="Arial"/>
          <w:sz w:val="20"/>
          <w:szCs w:val="20"/>
        </w:rPr>
        <w:t>.</w:t>
      </w:r>
    </w:p>
    <w:p w14:paraId="5DDA3D96" w14:textId="77777777" w:rsidR="0009707F" w:rsidRDefault="0009707F">
      <w:pPr>
        <w:rPr>
          <w:rFonts w:ascii="Arial" w:eastAsia="Arial" w:hAnsi="Arial" w:cs="Arial"/>
          <w:b/>
          <w:sz w:val="22"/>
          <w:szCs w:val="22"/>
        </w:rPr>
      </w:pPr>
    </w:p>
    <w:p w14:paraId="18797970" w14:textId="77777777" w:rsidR="0009707F" w:rsidRDefault="000A22F2">
      <w:pPr>
        <w:rPr>
          <w:rFonts w:ascii="Arial" w:eastAsia="Arial" w:hAnsi="Arial" w:cs="Arial"/>
          <w:b/>
          <w:sz w:val="22"/>
          <w:szCs w:val="22"/>
        </w:rPr>
      </w:pPr>
      <w:r>
        <w:rPr>
          <w:rFonts w:ascii="Arial" w:eastAsia="Arial" w:hAnsi="Arial" w:cs="Arial"/>
          <w:b/>
          <w:color w:val="0000FF"/>
          <w:sz w:val="20"/>
          <w:szCs w:val="20"/>
        </w:rPr>
        <w:t xml:space="preserve">Specific Reference:  </w:t>
      </w:r>
      <w:r>
        <w:rPr>
          <w:rFonts w:ascii="Arial" w:eastAsia="Arial" w:hAnsi="Arial" w:cs="Arial"/>
          <w:color w:val="000000"/>
          <w:sz w:val="20"/>
          <w:szCs w:val="20"/>
        </w:rPr>
        <w:t>Woodruff HB. A soil microbiologist's odyssey. Annu Rev Microbiol. 1981;35:1-28. doi: 10.1146/annurev.mi.35.100181.000245. PMID: 7027897.</w:t>
      </w:r>
    </w:p>
    <w:p w14:paraId="07347E48" w14:textId="77777777" w:rsidR="0009707F" w:rsidRDefault="0009707F">
      <w:pPr>
        <w:rPr>
          <w:rFonts w:ascii="Arial" w:eastAsia="Arial" w:hAnsi="Arial" w:cs="Arial"/>
          <w:b/>
          <w:sz w:val="22"/>
          <w:szCs w:val="22"/>
        </w:rPr>
      </w:pPr>
    </w:p>
    <w:p w14:paraId="03DD334D" w14:textId="77777777" w:rsidR="0009707F" w:rsidRDefault="000A22F2">
      <w:pPr>
        <w:rPr>
          <w:rFonts w:ascii="Arial" w:eastAsia="Arial" w:hAnsi="Arial" w:cs="Arial"/>
          <w:b/>
          <w:color w:val="0000FF"/>
          <w:sz w:val="20"/>
          <w:szCs w:val="20"/>
        </w:rPr>
      </w:pPr>
      <w:r>
        <w:rPr>
          <w:rFonts w:ascii="Arial" w:eastAsia="Arial" w:hAnsi="Arial" w:cs="Arial"/>
          <w:b/>
          <w:color w:val="0000FF"/>
          <w:sz w:val="20"/>
          <w:szCs w:val="20"/>
        </w:rPr>
        <w:t>GenBank Summary:</w:t>
      </w:r>
    </w:p>
    <w:p w14:paraId="5805CBB7" w14:textId="77777777" w:rsidR="0009707F" w:rsidRDefault="0009707F">
      <w:pPr>
        <w:rPr>
          <w:rFonts w:ascii="Arial" w:eastAsia="Arial" w:hAnsi="Arial" w:cs="Arial"/>
          <w:b/>
          <w:color w:val="0000FF"/>
          <w:sz w:val="20"/>
          <w:szCs w:val="20"/>
        </w:rPr>
      </w:pPr>
    </w:p>
    <w:tbl>
      <w:tblPr>
        <w:tblStyle w:val="ad"/>
        <w:tblW w:w="90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94"/>
        <w:gridCol w:w="1204"/>
        <w:gridCol w:w="1385"/>
        <w:gridCol w:w="821"/>
        <w:gridCol w:w="694"/>
        <w:gridCol w:w="850"/>
        <w:gridCol w:w="794"/>
        <w:gridCol w:w="1084"/>
        <w:gridCol w:w="983"/>
      </w:tblGrid>
      <w:tr w:rsidR="0009707F" w14:paraId="3A5BDA30" w14:textId="77777777">
        <w:tc>
          <w:tcPr>
            <w:tcW w:w="1195" w:type="dxa"/>
          </w:tcPr>
          <w:p w14:paraId="716514E7" w14:textId="77777777" w:rsidR="0009707F" w:rsidRDefault="000A22F2">
            <w:pPr>
              <w:rPr>
                <w:rFonts w:ascii="Arial" w:eastAsia="Arial" w:hAnsi="Arial" w:cs="Arial"/>
                <w:sz w:val="20"/>
                <w:szCs w:val="20"/>
              </w:rPr>
            </w:pPr>
            <w:r>
              <w:rPr>
                <w:rFonts w:ascii="Arial" w:eastAsia="Arial" w:hAnsi="Arial" w:cs="Arial"/>
                <w:sz w:val="20"/>
                <w:szCs w:val="20"/>
              </w:rPr>
              <w:t>Phage name</w:t>
            </w:r>
          </w:p>
        </w:tc>
        <w:tc>
          <w:tcPr>
            <w:tcW w:w="1204" w:type="dxa"/>
          </w:tcPr>
          <w:p w14:paraId="4DDFD190" w14:textId="77777777" w:rsidR="0009707F" w:rsidRDefault="000A22F2">
            <w:pPr>
              <w:rPr>
                <w:rFonts w:ascii="Arial" w:eastAsia="Arial" w:hAnsi="Arial" w:cs="Arial"/>
                <w:sz w:val="20"/>
                <w:szCs w:val="20"/>
              </w:rPr>
            </w:pPr>
            <w:r>
              <w:rPr>
                <w:rFonts w:ascii="Arial" w:eastAsia="Arial" w:hAnsi="Arial" w:cs="Arial"/>
                <w:sz w:val="20"/>
                <w:szCs w:val="20"/>
              </w:rPr>
              <w:t>RefSeq No.</w:t>
            </w:r>
          </w:p>
        </w:tc>
        <w:tc>
          <w:tcPr>
            <w:tcW w:w="1385" w:type="dxa"/>
          </w:tcPr>
          <w:p w14:paraId="1E774DAB" w14:textId="77777777" w:rsidR="0009707F" w:rsidRDefault="000A22F2">
            <w:pPr>
              <w:rPr>
                <w:rFonts w:ascii="Arial" w:eastAsia="Arial" w:hAnsi="Arial" w:cs="Arial"/>
                <w:sz w:val="20"/>
                <w:szCs w:val="20"/>
              </w:rPr>
            </w:pPr>
            <w:r>
              <w:rPr>
                <w:rFonts w:ascii="Arial" w:eastAsia="Arial" w:hAnsi="Arial" w:cs="Arial"/>
                <w:sz w:val="20"/>
                <w:szCs w:val="20"/>
              </w:rPr>
              <w:t xml:space="preserve">INSDC </w:t>
            </w:r>
          </w:p>
        </w:tc>
        <w:tc>
          <w:tcPr>
            <w:tcW w:w="821" w:type="dxa"/>
          </w:tcPr>
          <w:p w14:paraId="61EB501E" w14:textId="77777777" w:rsidR="0009707F" w:rsidRDefault="000A22F2">
            <w:pPr>
              <w:rPr>
                <w:rFonts w:ascii="Arial" w:eastAsia="Arial" w:hAnsi="Arial" w:cs="Arial"/>
                <w:sz w:val="20"/>
                <w:szCs w:val="20"/>
              </w:rPr>
            </w:pPr>
            <w:r>
              <w:rPr>
                <w:rFonts w:ascii="Arial" w:eastAsia="Arial" w:hAnsi="Arial" w:cs="Arial"/>
                <w:sz w:val="20"/>
                <w:szCs w:val="20"/>
              </w:rPr>
              <w:t>Size (Kb)</w:t>
            </w:r>
          </w:p>
        </w:tc>
        <w:tc>
          <w:tcPr>
            <w:tcW w:w="694" w:type="dxa"/>
          </w:tcPr>
          <w:p w14:paraId="1B6D752E" w14:textId="77777777" w:rsidR="0009707F" w:rsidRDefault="000A22F2">
            <w:pPr>
              <w:rPr>
                <w:rFonts w:ascii="Arial" w:eastAsia="Arial" w:hAnsi="Arial" w:cs="Arial"/>
                <w:sz w:val="20"/>
                <w:szCs w:val="20"/>
              </w:rPr>
            </w:pPr>
            <w:r>
              <w:rPr>
                <w:rFonts w:ascii="Arial" w:eastAsia="Arial" w:hAnsi="Arial" w:cs="Arial"/>
                <w:sz w:val="20"/>
                <w:szCs w:val="20"/>
              </w:rPr>
              <w:t xml:space="preserve">GC% </w:t>
            </w:r>
          </w:p>
        </w:tc>
        <w:tc>
          <w:tcPr>
            <w:tcW w:w="850" w:type="dxa"/>
          </w:tcPr>
          <w:p w14:paraId="513516DD" w14:textId="77777777" w:rsidR="0009707F" w:rsidRDefault="000A22F2">
            <w:pPr>
              <w:rPr>
                <w:rFonts w:ascii="Arial" w:eastAsia="Arial" w:hAnsi="Arial" w:cs="Arial"/>
                <w:sz w:val="20"/>
                <w:szCs w:val="20"/>
              </w:rPr>
            </w:pPr>
            <w:r>
              <w:rPr>
                <w:rFonts w:ascii="Arial" w:eastAsia="Arial" w:hAnsi="Arial" w:cs="Arial"/>
                <w:sz w:val="20"/>
                <w:szCs w:val="20"/>
              </w:rPr>
              <w:t xml:space="preserve">Protein </w:t>
            </w:r>
          </w:p>
        </w:tc>
        <w:tc>
          <w:tcPr>
            <w:tcW w:w="794" w:type="dxa"/>
          </w:tcPr>
          <w:p w14:paraId="7CBAFC1D" w14:textId="77777777" w:rsidR="0009707F" w:rsidRDefault="000A22F2">
            <w:pPr>
              <w:rPr>
                <w:rFonts w:ascii="Arial" w:eastAsia="Arial" w:hAnsi="Arial" w:cs="Arial"/>
                <w:sz w:val="20"/>
                <w:szCs w:val="20"/>
              </w:rPr>
            </w:pPr>
            <w:r>
              <w:rPr>
                <w:rFonts w:ascii="Arial" w:eastAsia="Arial" w:hAnsi="Arial" w:cs="Arial"/>
                <w:sz w:val="20"/>
                <w:szCs w:val="20"/>
              </w:rPr>
              <w:t>tRNAs</w:t>
            </w:r>
          </w:p>
        </w:tc>
        <w:tc>
          <w:tcPr>
            <w:tcW w:w="1084" w:type="dxa"/>
          </w:tcPr>
          <w:p w14:paraId="2C66F0F4" w14:textId="77777777" w:rsidR="0009707F" w:rsidRDefault="000A22F2">
            <w:pPr>
              <w:rPr>
                <w:rFonts w:ascii="Arial" w:eastAsia="Arial" w:hAnsi="Arial" w:cs="Arial"/>
                <w:sz w:val="20"/>
                <w:szCs w:val="20"/>
              </w:rPr>
            </w:pPr>
            <w:r>
              <w:rPr>
                <w:rFonts w:ascii="Arial" w:eastAsia="Arial" w:hAnsi="Arial" w:cs="Arial"/>
                <w:sz w:val="20"/>
                <w:szCs w:val="20"/>
              </w:rPr>
              <w:t>Overall DNA sequence identity (**)</w:t>
            </w:r>
          </w:p>
        </w:tc>
        <w:tc>
          <w:tcPr>
            <w:tcW w:w="983" w:type="dxa"/>
          </w:tcPr>
          <w:p w14:paraId="04368368" w14:textId="77777777" w:rsidR="0009707F" w:rsidRDefault="000A22F2">
            <w:pPr>
              <w:rPr>
                <w:rFonts w:ascii="Arial" w:eastAsia="Arial" w:hAnsi="Arial" w:cs="Arial"/>
                <w:sz w:val="20"/>
                <w:szCs w:val="20"/>
              </w:rPr>
            </w:pPr>
            <w:r>
              <w:rPr>
                <w:rFonts w:ascii="Arial" w:eastAsia="Arial" w:hAnsi="Arial" w:cs="Arial"/>
                <w:sz w:val="20"/>
                <w:szCs w:val="20"/>
              </w:rPr>
              <w:t>% common proteins (**)</w:t>
            </w:r>
          </w:p>
        </w:tc>
      </w:tr>
      <w:tr w:rsidR="0009707F" w14:paraId="76C579A5" w14:textId="77777777">
        <w:tc>
          <w:tcPr>
            <w:tcW w:w="1195" w:type="dxa"/>
            <w:vAlign w:val="center"/>
          </w:tcPr>
          <w:p w14:paraId="70CE401F" w14:textId="77777777" w:rsidR="0009707F" w:rsidRDefault="000A22F2">
            <w:pPr>
              <w:rPr>
                <w:rFonts w:ascii="Arial" w:eastAsia="Arial" w:hAnsi="Arial" w:cs="Arial"/>
                <w:sz w:val="16"/>
                <w:szCs w:val="16"/>
              </w:rPr>
            </w:pPr>
            <w:r>
              <w:rPr>
                <w:rFonts w:ascii="Arial" w:eastAsia="Arial" w:hAnsi="Arial" w:cs="Arial"/>
                <w:sz w:val="16"/>
                <w:szCs w:val="16"/>
              </w:rPr>
              <w:t>Streptomyces phage Samisti12</w:t>
            </w:r>
          </w:p>
        </w:tc>
        <w:tc>
          <w:tcPr>
            <w:tcW w:w="1204" w:type="dxa"/>
            <w:vAlign w:val="center"/>
          </w:tcPr>
          <w:p w14:paraId="337ED98D" w14:textId="77777777" w:rsidR="0009707F" w:rsidRDefault="00C029DA">
            <w:pPr>
              <w:rPr>
                <w:rFonts w:ascii="Arial" w:eastAsia="Arial" w:hAnsi="Arial" w:cs="Arial"/>
                <w:sz w:val="16"/>
                <w:szCs w:val="16"/>
              </w:rPr>
            </w:pPr>
            <w:hyperlink r:id="rId17">
              <w:r w:rsidR="000A22F2">
                <w:rPr>
                  <w:rFonts w:ascii="Arial" w:eastAsia="Arial" w:hAnsi="Arial" w:cs="Arial"/>
                  <w:color w:val="0000FF"/>
                  <w:sz w:val="16"/>
                  <w:szCs w:val="16"/>
                  <w:u w:val="single"/>
                </w:rPr>
                <w:t>NC_042012.1</w:t>
              </w:r>
            </w:hyperlink>
          </w:p>
        </w:tc>
        <w:tc>
          <w:tcPr>
            <w:tcW w:w="1385" w:type="dxa"/>
            <w:vAlign w:val="center"/>
          </w:tcPr>
          <w:p w14:paraId="246CCC78" w14:textId="77777777" w:rsidR="0009707F" w:rsidRDefault="00C029DA">
            <w:pPr>
              <w:rPr>
                <w:rFonts w:ascii="Arial" w:eastAsia="Arial" w:hAnsi="Arial" w:cs="Arial"/>
                <w:sz w:val="16"/>
                <w:szCs w:val="16"/>
              </w:rPr>
            </w:pPr>
            <w:hyperlink r:id="rId18">
              <w:r w:rsidR="000A22F2">
                <w:rPr>
                  <w:rFonts w:ascii="Arial" w:eastAsia="Arial" w:hAnsi="Arial" w:cs="Arial"/>
                  <w:color w:val="0000FF"/>
                  <w:sz w:val="16"/>
                  <w:szCs w:val="16"/>
                  <w:u w:val="single"/>
                </w:rPr>
                <w:t>MF347639.1</w:t>
              </w:r>
            </w:hyperlink>
          </w:p>
        </w:tc>
        <w:tc>
          <w:tcPr>
            <w:tcW w:w="821" w:type="dxa"/>
            <w:vAlign w:val="center"/>
          </w:tcPr>
          <w:p w14:paraId="7CECCDB0" w14:textId="77777777" w:rsidR="0009707F" w:rsidRDefault="000A22F2">
            <w:pPr>
              <w:rPr>
                <w:rFonts w:ascii="Arial" w:eastAsia="Arial" w:hAnsi="Arial" w:cs="Arial"/>
                <w:sz w:val="16"/>
                <w:szCs w:val="16"/>
              </w:rPr>
            </w:pPr>
            <w:r>
              <w:rPr>
                <w:rFonts w:ascii="Arial" w:eastAsia="Arial" w:hAnsi="Arial" w:cs="Arial"/>
                <w:sz w:val="16"/>
                <w:szCs w:val="16"/>
              </w:rPr>
              <w:t>133.71</w:t>
            </w:r>
          </w:p>
        </w:tc>
        <w:tc>
          <w:tcPr>
            <w:tcW w:w="694" w:type="dxa"/>
            <w:vAlign w:val="center"/>
          </w:tcPr>
          <w:p w14:paraId="239BDEB0" w14:textId="77777777" w:rsidR="0009707F" w:rsidRDefault="000A22F2">
            <w:pPr>
              <w:rPr>
                <w:rFonts w:ascii="Arial" w:eastAsia="Arial" w:hAnsi="Arial" w:cs="Arial"/>
                <w:sz w:val="16"/>
                <w:szCs w:val="16"/>
              </w:rPr>
            </w:pPr>
            <w:r>
              <w:rPr>
                <w:rFonts w:ascii="Arial" w:eastAsia="Arial" w:hAnsi="Arial" w:cs="Arial"/>
                <w:sz w:val="16"/>
                <w:szCs w:val="16"/>
              </w:rPr>
              <w:t>49.9</w:t>
            </w:r>
          </w:p>
        </w:tc>
        <w:tc>
          <w:tcPr>
            <w:tcW w:w="850" w:type="dxa"/>
            <w:vAlign w:val="center"/>
          </w:tcPr>
          <w:p w14:paraId="2DBAC242" w14:textId="77777777" w:rsidR="0009707F" w:rsidRDefault="00C029DA">
            <w:pPr>
              <w:rPr>
                <w:rFonts w:ascii="Arial" w:eastAsia="Arial" w:hAnsi="Arial" w:cs="Arial"/>
                <w:sz w:val="16"/>
                <w:szCs w:val="16"/>
              </w:rPr>
            </w:pPr>
            <w:hyperlink r:id="rId19" w:anchor="!/proteins/63760/466381%7CStreptomyces%20phage%20Samisti12/viral%20segment/">
              <w:r w:rsidR="000A22F2">
                <w:rPr>
                  <w:rFonts w:ascii="Arial" w:eastAsia="Arial" w:hAnsi="Arial" w:cs="Arial"/>
                  <w:color w:val="000080"/>
                  <w:sz w:val="16"/>
                  <w:szCs w:val="16"/>
                  <w:u w:val="single"/>
                </w:rPr>
                <w:t>226</w:t>
              </w:r>
            </w:hyperlink>
          </w:p>
        </w:tc>
        <w:tc>
          <w:tcPr>
            <w:tcW w:w="794" w:type="dxa"/>
            <w:vAlign w:val="center"/>
          </w:tcPr>
          <w:p w14:paraId="70BB19EB" w14:textId="77777777" w:rsidR="0009707F" w:rsidRDefault="000A22F2">
            <w:pPr>
              <w:rPr>
                <w:rFonts w:ascii="Arial" w:eastAsia="Arial" w:hAnsi="Arial" w:cs="Arial"/>
                <w:sz w:val="16"/>
                <w:szCs w:val="16"/>
              </w:rPr>
            </w:pPr>
            <w:r>
              <w:rPr>
                <w:rFonts w:ascii="Arial" w:eastAsia="Arial" w:hAnsi="Arial" w:cs="Arial"/>
                <w:sz w:val="16"/>
                <w:szCs w:val="16"/>
              </w:rPr>
              <w:t>44</w:t>
            </w:r>
          </w:p>
        </w:tc>
        <w:tc>
          <w:tcPr>
            <w:tcW w:w="1084" w:type="dxa"/>
            <w:vAlign w:val="center"/>
          </w:tcPr>
          <w:p w14:paraId="54DE3233" w14:textId="77777777" w:rsidR="0009707F" w:rsidRDefault="000A22F2">
            <w:pPr>
              <w:rPr>
                <w:rFonts w:ascii="Arial" w:eastAsia="Arial" w:hAnsi="Arial" w:cs="Arial"/>
                <w:sz w:val="16"/>
                <w:szCs w:val="16"/>
              </w:rPr>
            </w:pPr>
            <w:r>
              <w:rPr>
                <w:rFonts w:ascii="Arial" w:eastAsia="Arial" w:hAnsi="Arial" w:cs="Arial"/>
                <w:sz w:val="16"/>
                <w:szCs w:val="16"/>
              </w:rPr>
              <w:t>100</w:t>
            </w:r>
          </w:p>
        </w:tc>
        <w:tc>
          <w:tcPr>
            <w:tcW w:w="983" w:type="dxa"/>
            <w:vAlign w:val="center"/>
          </w:tcPr>
          <w:p w14:paraId="6B38A2AB" w14:textId="77777777" w:rsidR="0009707F" w:rsidRDefault="000A22F2">
            <w:pPr>
              <w:rPr>
                <w:rFonts w:ascii="Arial" w:eastAsia="Arial" w:hAnsi="Arial" w:cs="Arial"/>
                <w:sz w:val="16"/>
                <w:szCs w:val="16"/>
              </w:rPr>
            </w:pPr>
            <w:r>
              <w:rPr>
                <w:rFonts w:ascii="Arial" w:eastAsia="Arial" w:hAnsi="Arial" w:cs="Arial"/>
                <w:sz w:val="16"/>
                <w:szCs w:val="16"/>
              </w:rPr>
              <w:t>100</w:t>
            </w:r>
          </w:p>
        </w:tc>
      </w:tr>
      <w:tr w:rsidR="0009707F" w14:paraId="368FB4B3" w14:textId="77777777">
        <w:tc>
          <w:tcPr>
            <w:tcW w:w="1195" w:type="dxa"/>
            <w:vAlign w:val="center"/>
          </w:tcPr>
          <w:p w14:paraId="10D8B524" w14:textId="77777777" w:rsidR="0009707F" w:rsidRDefault="000A22F2">
            <w:pPr>
              <w:rPr>
                <w:rFonts w:ascii="Arial" w:eastAsia="Arial" w:hAnsi="Arial" w:cs="Arial"/>
                <w:sz w:val="16"/>
                <w:szCs w:val="16"/>
              </w:rPr>
            </w:pPr>
            <w:bookmarkStart w:id="1" w:name="_heading=h.30j0zll" w:colFirst="0" w:colLast="0"/>
            <w:bookmarkEnd w:id="1"/>
            <w:r>
              <w:rPr>
                <w:rFonts w:ascii="Arial" w:eastAsia="Arial" w:hAnsi="Arial" w:cs="Arial"/>
                <w:sz w:val="16"/>
                <w:szCs w:val="16"/>
              </w:rPr>
              <w:t>Streptomyces phage Daubenski</w:t>
            </w:r>
          </w:p>
        </w:tc>
        <w:tc>
          <w:tcPr>
            <w:tcW w:w="1204" w:type="dxa"/>
            <w:vAlign w:val="center"/>
          </w:tcPr>
          <w:p w14:paraId="64A9E5D7" w14:textId="77777777" w:rsidR="0009707F" w:rsidRDefault="0009707F">
            <w:pPr>
              <w:rPr>
                <w:rFonts w:ascii="Arial" w:eastAsia="Arial" w:hAnsi="Arial" w:cs="Arial"/>
                <w:sz w:val="16"/>
                <w:szCs w:val="16"/>
              </w:rPr>
            </w:pPr>
          </w:p>
        </w:tc>
        <w:tc>
          <w:tcPr>
            <w:tcW w:w="1385" w:type="dxa"/>
            <w:vAlign w:val="center"/>
          </w:tcPr>
          <w:p w14:paraId="64E3590C" w14:textId="77777777" w:rsidR="0009707F" w:rsidRDefault="00C029DA">
            <w:pPr>
              <w:rPr>
                <w:rFonts w:ascii="Arial" w:eastAsia="Arial" w:hAnsi="Arial" w:cs="Arial"/>
                <w:sz w:val="16"/>
                <w:szCs w:val="16"/>
              </w:rPr>
            </w:pPr>
            <w:hyperlink r:id="rId20">
              <w:r w:rsidR="000A22F2">
                <w:rPr>
                  <w:rFonts w:ascii="Arial" w:eastAsia="Arial" w:hAnsi="Arial" w:cs="Arial"/>
                  <w:color w:val="0000FF"/>
                  <w:sz w:val="16"/>
                  <w:szCs w:val="16"/>
                  <w:u w:val="single"/>
                </w:rPr>
                <w:t>MN444876.1</w:t>
              </w:r>
            </w:hyperlink>
          </w:p>
        </w:tc>
        <w:tc>
          <w:tcPr>
            <w:tcW w:w="821" w:type="dxa"/>
            <w:vAlign w:val="center"/>
          </w:tcPr>
          <w:p w14:paraId="00DC0970" w14:textId="77777777" w:rsidR="0009707F" w:rsidRDefault="000A22F2">
            <w:pPr>
              <w:rPr>
                <w:rFonts w:ascii="Arial" w:eastAsia="Arial" w:hAnsi="Arial" w:cs="Arial"/>
                <w:sz w:val="16"/>
                <w:szCs w:val="16"/>
              </w:rPr>
            </w:pPr>
            <w:r>
              <w:rPr>
                <w:rFonts w:ascii="Arial" w:eastAsia="Arial" w:hAnsi="Arial" w:cs="Arial"/>
                <w:sz w:val="16"/>
                <w:szCs w:val="16"/>
              </w:rPr>
              <w:t>133.09</w:t>
            </w:r>
          </w:p>
        </w:tc>
        <w:tc>
          <w:tcPr>
            <w:tcW w:w="694" w:type="dxa"/>
            <w:vAlign w:val="center"/>
          </w:tcPr>
          <w:p w14:paraId="1462CCA1" w14:textId="77777777" w:rsidR="0009707F" w:rsidRDefault="000A22F2">
            <w:pPr>
              <w:rPr>
                <w:rFonts w:ascii="Arial" w:eastAsia="Arial" w:hAnsi="Arial" w:cs="Arial"/>
                <w:sz w:val="16"/>
                <w:szCs w:val="16"/>
              </w:rPr>
            </w:pPr>
            <w:r>
              <w:rPr>
                <w:rFonts w:ascii="Arial" w:eastAsia="Arial" w:hAnsi="Arial" w:cs="Arial"/>
                <w:sz w:val="16"/>
                <w:szCs w:val="16"/>
              </w:rPr>
              <w:t>49.4</w:t>
            </w:r>
          </w:p>
        </w:tc>
        <w:tc>
          <w:tcPr>
            <w:tcW w:w="850" w:type="dxa"/>
            <w:vAlign w:val="center"/>
          </w:tcPr>
          <w:p w14:paraId="2D510625" w14:textId="77777777" w:rsidR="0009707F" w:rsidRDefault="00C029DA">
            <w:pPr>
              <w:rPr>
                <w:rFonts w:ascii="Arial" w:eastAsia="Arial" w:hAnsi="Arial" w:cs="Arial"/>
                <w:sz w:val="16"/>
                <w:szCs w:val="16"/>
              </w:rPr>
            </w:pPr>
            <w:hyperlink r:id="rId21" w:anchor="!/proteins/85555/743714%7CStreptomyces%20phage%20Daubenski/viral%20segment/">
              <w:r w:rsidR="000A22F2">
                <w:rPr>
                  <w:rFonts w:ascii="Arial" w:eastAsia="Arial" w:hAnsi="Arial" w:cs="Arial"/>
                  <w:color w:val="000080"/>
                  <w:sz w:val="16"/>
                  <w:szCs w:val="16"/>
                  <w:u w:val="single"/>
                </w:rPr>
                <w:t>226</w:t>
              </w:r>
            </w:hyperlink>
          </w:p>
        </w:tc>
        <w:tc>
          <w:tcPr>
            <w:tcW w:w="794" w:type="dxa"/>
            <w:vAlign w:val="center"/>
          </w:tcPr>
          <w:p w14:paraId="18658DA0" w14:textId="77777777" w:rsidR="0009707F" w:rsidRDefault="000A22F2">
            <w:pPr>
              <w:rPr>
                <w:rFonts w:ascii="Arial" w:eastAsia="Arial" w:hAnsi="Arial" w:cs="Arial"/>
                <w:sz w:val="16"/>
                <w:szCs w:val="16"/>
              </w:rPr>
            </w:pPr>
            <w:r>
              <w:rPr>
                <w:rFonts w:ascii="Arial" w:eastAsia="Arial" w:hAnsi="Arial" w:cs="Arial"/>
                <w:sz w:val="16"/>
                <w:szCs w:val="16"/>
              </w:rPr>
              <w:t>39</w:t>
            </w:r>
          </w:p>
        </w:tc>
        <w:tc>
          <w:tcPr>
            <w:tcW w:w="1084" w:type="dxa"/>
            <w:vAlign w:val="center"/>
          </w:tcPr>
          <w:p w14:paraId="0AF6FC99" w14:textId="77777777" w:rsidR="0009707F" w:rsidRDefault="000A22F2">
            <w:pPr>
              <w:rPr>
                <w:rFonts w:ascii="Arial" w:eastAsia="Arial" w:hAnsi="Arial" w:cs="Arial"/>
                <w:sz w:val="16"/>
                <w:szCs w:val="16"/>
              </w:rPr>
            </w:pPr>
            <w:r>
              <w:rPr>
                <w:rFonts w:ascii="Arial" w:eastAsia="Arial" w:hAnsi="Arial" w:cs="Arial"/>
                <w:sz w:val="16"/>
                <w:szCs w:val="16"/>
              </w:rPr>
              <w:t>71.1</w:t>
            </w:r>
          </w:p>
        </w:tc>
        <w:tc>
          <w:tcPr>
            <w:tcW w:w="983" w:type="dxa"/>
            <w:vAlign w:val="center"/>
          </w:tcPr>
          <w:p w14:paraId="40451DA9" w14:textId="77777777" w:rsidR="0009707F" w:rsidRDefault="000A22F2">
            <w:pPr>
              <w:rPr>
                <w:rFonts w:ascii="Arial" w:eastAsia="Arial" w:hAnsi="Arial" w:cs="Arial"/>
                <w:sz w:val="16"/>
                <w:szCs w:val="16"/>
              </w:rPr>
            </w:pPr>
            <w:r>
              <w:rPr>
                <w:rFonts w:ascii="Arial" w:eastAsia="Arial" w:hAnsi="Arial" w:cs="Arial"/>
                <w:sz w:val="16"/>
                <w:szCs w:val="16"/>
              </w:rPr>
              <w:t>78.8</w:t>
            </w:r>
          </w:p>
        </w:tc>
      </w:tr>
      <w:tr w:rsidR="0009707F" w14:paraId="6D81430E" w14:textId="77777777">
        <w:tc>
          <w:tcPr>
            <w:tcW w:w="1195" w:type="dxa"/>
            <w:vAlign w:val="center"/>
          </w:tcPr>
          <w:p w14:paraId="42140028" w14:textId="77777777" w:rsidR="0009707F" w:rsidRDefault="000A22F2">
            <w:pPr>
              <w:rPr>
                <w:rFonts w:ascii="Arial" w:eastAsia="Arial" w:hAnsi="Arial" w:cs="Arial"/>
                <w:sz w:val="16"/>
                <w:szCs w:val="16"/>
              </w:rPr>
            </w:pPr>
            <w:r>
              <w:rPr>
                <w:rFonts w:ascii="Arial" w:eastAsia="Arial" w:hAnsi="Arial" w:cs="Arial"/>
                <w:sz w:val="16"/>
                <w:szCs w:val="16"/>
              </w:rPr>
              <w:t>Streptomyces phage Bmoc</w:t>
            </w:r>
          </w:p>
        </w:tc>
        <w:tc>
          <w:tcPr>
            <w:tcW w:w="1204" w:type="dxa"/>
            <w:vAlign w:val="center"/>
          </w:tcPr>
          <w:p w14:paraId="1456E32A" w14:textId="77777777" w:rsidR="0009707F" w:rsidRDefault="0009707F">
            <w:pPr>
              <w:rPr>
                <w:rFonts w:ascii="Arial" w:eastAsia="Arial" w:hAnsi="Arial" w:cs="Arial"/>
                <w:sz w:val="16"/>
                <w:szCs w:val="16"/>
              </w:rPr>
            </w:pPr>
          </w:p>
        </w:tc>
        <w:tc>
          <w:tcPr>
            <w:tcW w:w="1385" w:type="dxa"/>
            <w:vAlign w:val="center"/>
          </w:tcPr>
          <w:p w14:paraId="6455738F" w14:textId="77777777" w:rsidR="0009707F" w:rsidRDefault="00C029DA">
            <w:pPr>
              <w:rPr>
                <w:rFonts w:ascii="Arial" w:eastAsia="Arial" w:hAnsi="Arial" w:cs="Arial"/>
                <w:sz w:val="16"/>
                <w:szCs w:val="16"/>
              </w:rPr>
            </w:pPr>
            <w:hyperlink r:id="rId22">
              <w:r w:rsidR="000A22F2">
                <w:rPr>
                  <w:rFonts w:ascii="Arial" w:eastAsia="Arial" w:hAnsi="Arial" w:cs="Arial"/>
                  <w:color w:val="0000FF"/>
                  <w:sz w:val="16"/>
                  <w:szCs w:val="16"/>
                  <w:u w:val="single"/>
                </w:rPr>
                <w:t>MT310865.1</w:t>
              </w:r>
            </w:hyperlink>
          </w:p>
        </w:tc>
        <w:tc>
          <w:tcPr>
            <w:tcW w:w="821" w:type="dxa"/>
            <w:vAlign w:val="center"/>
          </w:tcPr>
          <w:p w14:paraId="3D3F22B8" w14:textId="77777777" w:rsidR="0009707F" w:rsidRDefault="000A22F2">
            <w:pPr>
              <w:rPr>
                <w:rFonts w:ascii="Arial" w:eastAsia="Arial" w:hAnsi="Arial" w:cs="Arial"/>
                <w:sz w:val="16"/>
                <w:szCs w:val="16"/>
              </w:rPr>
            </w:pPr>
            <w:r>
              <w:rPr>
                <w:rFonts w:ascii="Arial" w:eastAsia="Arial" w:hAnsi="Arial" w:cs="Arial"/>
                <w:sz w:val="16"/>
                <w:szCs w:val="16"/>
              </w:rPr>
              <w:t>132.89</w:t>
            </w:r>
          </w:p>
        </w:tc>
        <w:tc>
          <w:tcPr>
            <w:tcW w:w="694" w:type="dxa"/>
            <w:vAlign w:val="center"/>
          </w:tcPr>
          <w:p w14:paraId="3A23CAA8" w14:textId="77777777" w:rsidR="0009707F" w:rsidRDefault="000A22F2">
            <w:pPr>
              <w:rPr>
                <w:rFonts w:ascii="Arial" w:eastAsia="Arial" w:hAnsi="Arial" w:cs="Arial"/>
                <w:sz w:val="16"/>
                <w:szCs w:val="16"/>
              </w:rPr>
            </w:pPr>
            <w:r>
              <w:rPr>
                <w:rFonts w:ascii="Arial" w:eastAsia="Arial" w:hAnsi="Arial" w:cs="Arial"/>
                <w:sz w:val="16"/>
                <w:szCs w:val="16"/>
              </w:rPr>
              <w:t>49.6</w:t>
            </w:r>
          </w:p>
        </w:tc>
        <w:tc>
          <w:tcPr>
            <w:tcW w:w="850" w:type="dxa"/>
            <w:vAlign w:val="center"/>
          </w:tcPr>
          <w:p w14:paraId="0A225265" w14:textId="77777777" w:rsidR="0009707F" w:rsidRDefault="00C029DA">
            <w:pPr>
              <w:rPr>
                <w:rFonts w:ascii="Arial" w:eastAsia="Arial" w:hAnsi="Arial" w:cs="Arial"/>
                <w:sz w:val="16"/>
                <w:szCs w:val="16"/>
              </w:rPr>
            </w:pPr>
            <w:hyperlink r:id="rId23" w:anchor="!/proteins/89549/893411%7CStreptomyces%20phage%20Bmoc/viral%20segment/">
              <w:r w:rsidR="000A22F2">
                <w:rPr>
                  <w:rFonts w:ascii="Arial" w:eastAsia="Arial" w:hAnsi="Arial" w:cs="Arial"/>
                  <w:color w:val="000080"/>
                  <w:sz w:val="16"/>
                  <w:szCs w:val="16"/>
                  <w:u w:val="single"/>
                </w:rPr>
                <w:t>235</w:t>
              </w:r>
            </w:hyperlink>
          </w:p>
        </w:tc>
        <w:tc>
          <w:tcPr>
            <w:tcW w:w="794" w:type="dxa"/>
            <w:vAlign w:val="center"/>
          </w:tcPr>
          <w:p w14:paraId="61BFAB7B" w14:textId="77777777" w:rsidR="0009707F" w:rsidRDefault="000A22F2">
            <w:pPr>
              <w:rPr>
                <w:rFonts w:ascii="Arial" w:eastAsia="Arial" w:hAnsi="Arial" w:cs="Arial"/>
                <w:sz w:val="16"/>
                <w:szCs w:val="16"/>
              </w:rPr>
            </w:pPr>
            <w:r>
              <w:rPr>
                <w:rFonts w:ascii="Arial" w:eastAsia="Arial" w:hAnsi="Arial" w:cs="Arial"/>
                <w:sz w:val="16"/>
                <w:szCs w:val="16"/>
              </w:rPr>
              <w:t>41</w:t>
            </w:r>
          </w:p>
        </w:tc>
        <w:tc>
          <w:tcPr>
            <w:tcW w:w="1084" w:type="dxa"/>
            <w:vAlign w:val="center"/>
          </w:tcPr>
          <w:p w14:paraId="11226FC5" w14:textId="77777777" w:rsidR="0009707F" w:rsidRDefault="000A22F2">
            <w:pPr>
              <w:rPr>
                <w:rFonts w:ascii="Arial" w:eastAsia="Arial" w:hAnsi="Arial" w:cs="Arial"/>
                <w:sz w:val="16"/>
                <w:szCs w:val="16"/>
              </w:rPr>
            </w:pPr>
            <w:r>
              <w:rPr>
                <w:rFonts w:ascii="Arial" w:eastAsia="Arial" w:hAnsi="Arial" w:cs="Arial"/>
                <w:sz w:val="16"/>
                <w:szCs w:val="16"/>
              </w:rPr>
              <w:t>68.5</w:t>
            </w:r>
          </w:p>
        </w:tc>
        <w:tc>
          <w:tcPr>
            <w:tcW w:w="983" w:type="dxa"/>
            <w:vAlign w:val="center"/>
          </w:tcPr>
          <w:p w14:paraId="7126831F" w14:textId="77777777" w:rsidR="0009707F" w:rsidRDefault="000A22F2">
            <w:pPr>
              <w:rPr>
                <w:rFonts w:ascii="Arial" w:eastAsia="Arial" w:hAnsi="Arial" w:cs="Arial"/>
                <w:sz w:val="16"/>
                <w:szCs w:val="16"/>
              </w:rPr>
            </w:pPr>
            <w:r>
              <w:rPr>
                <w:rFonts w:ascii="Arial" w:eastAsia="Arial" w:hAnsi="Arial" w:cs="Arial"/>
                <w:sz w:val="16"/>
                <w:szCs w:val="16"/>
              </w:rPr>
              <w:t>78.3</w:t>
            </w:r>
          </w:p>
        </w:tc>
      </w:tr>
      <w:tr w:rsidR="0009707F" w14:paraId="68F7A5FA" w14:textId="77777777">
        <w:tc>
          <w:tcPr>
            <w:tcW w:w="1195" w:type="dxa"/>
            <w:vAlign w:val="center"/>
          </w:tcPr>
          <w:p w14:paraId="12F6679A" w14:textId="77777777" w:rsidR="0009707F" w:rsidRDefault="000A22F2">
            <w:pPr>
              <w:rPr>
                <w:rFonts w:ascii="Arial" w:eastAsia="Arial" w:hAnsi="Arial" w:cs="Arial"/>
                <w:sz w:val="16"/>
                <w:szCs w:val="16"/>
              </w:rPr>
            </w:pPr>
            <w:r>
              <w:rPr>
                <w:rFonts w:ascii="Arial" w:eastAsia="Arial" w:hAnsi="Arial" w:cs="Arial"/>
                <w:sz w:val="16"/>
                <w:szCs w:val="16"/>
              </w:rPr>
              <w:t>Streptomyces phage Egole</w:t>
            </w:r>
          </w:p>
        </w:tc>
        <w:tc>
          <w:tcPr>
            <w:tcW w:w="1204" w:type="dxa"/>
            <w:vAlign w:val="center"/>
          </w:tcPr>
          <w:p w14:paraId="11F127A2" w14:textId="77777777" w:rsidR="0009707F" w:rsidRDefault="0009707F">
            <w:pPr>
              <w:rPr>
                <w:rFonts w:ascii="Arial" w:eastAsia="Arial" w:hAnsi="Arial" w:cs="Arial"/>
                <w:sz w:val="16"/>
                <w:szCs w:val="16"/>
              </w:rPr>
            </w:pPr>
          </w:p>
        </w:tc>
        <w:tc>
          <w:tcPr>
            <w:tcW w:w="1385" w:type="dxa"/>
            <w:vAlign w:val="center"/>
          </w:tcPr>
          <w:p w14:paraId="6B8A3D87" w14:textId="77777777" w:rsidR="0009707F" w:rsidRDefault="00C029DA">
            <w:pPr>
              <w:rPr>
                <w:rFonts w:ascii="Arial" w:eastAsia="Arial" w:hAnsi="Arial" w:cs="Arial"/>
                <w:sz w:val="16"/>
                <w:szCs w:val="16"/>
              </w:rPr>
            </w:pPr>
            <w:hyperlink r:id="rId24">
              <w:r w:rsidR="000A22F2">
                <w:rPr>
                  <w:rFonts w:ascii="Arial" w:eastAsia="Arial" w:hAnsi="Arial" w:cs="Arial"/>
                  <w:color w:val="0000FF"/>
                  <w:sz w:val="16"/>
                  <w:szCs w:val="16"/>
                  <w:u w:val="single"/>
                </w:rPr>
                <w:t>MK494112.1</w:t>
              </w:r>
            </w:hyperlink>
          </w:p>
        </w:tc>
        <w:tc>
          <w:tcPr>
            <w:tcW w:w="821" w:type="dxa"/>
            <w:vAlign w:val="center"/>
          </w:tcPr>
          <w:p w14:paraId="31674F6B" w14:textId="77777777" w:rsidR="0009707F" w:rsidRDefault="000A22F2">
            <w:pPr>
              <w:rPr>
                <w:rFonts w:ascii="Arial" w:eastAsia="Arial" w:hAnsi="Arial" w:cs="Arial"/>
                <w:sz w:val="16"/>
                <w:szCs w:val="16"/>
              </w:rPr>
            </w:pPr>
            <w:r>
              <w:rPr>
                <w:rFonts w:ascii="Arial" w:eastAsia="Arial" w:hAnsi="Arial" w:cs="Arial"/>
                <w:sz w:val="16"/>
                <w:szCs w:val="16"/>
              </w:rPr>
              <w:t>135.65</w:t>
            </w:r>
          </w:p>
        </w:tc>
        <w:tc>
          <w:tcPr>
            <w:tcW w:w="694" w:type="dxa"/>
            <w:vAlign w:val="center"/>
          </w:tcPr>
          <w:p w14:paraId="635E7A96" w14:textId="77777777" w:rsidR="0009707F" w:rsidRDefault="000A22F2">
            <w:pPr>
              <w:rPr>
                <w:rFonts w:ascii="Arial" w:eastAsia="Arial" w:hAnsi="Arial" w:cs="Arial"/>
                <w:sz w:val="16"/>
                <w:szCs w:val="16"/>
              </w:rPr>
            </w:pPr>
            <w:r>
              <w:rPr>
                <w:rFonts w:ascii="Arial" w:eastAsia="Arial" w:hAnsi="Arial" w:cs="Arial"/>
                <w:sz w:val="16"/>
                <w:szCs w:val="16"/>
              </w:rPr>
              <w:t>49.9</w:t>
            </w:r>
          </w:p>
        </w:tc>
        <w:tc>
          <w:tcPr>
            <w:tcW w:w="850" w:type="dxa"/>
            <w:vAlign w:val="center"/>
          </w:tcPr>
          <w:p w14:paraId="3A91A79B" w14:textId="77777777" w:rsidR="0009707F" w:rsidRDefault="00C029DA">
            <w:pPr>
              <w:rPr>
                <w:rFonts w:ascii="Arial" w:eastAsia="Arial" w:hAnsi="Arial" w:cs="Arial"/>
                <w:sz w:val="16"/>
                <w:szCs w:val="16"/>
              </w:rPr>
            </w:pPr>
            <w:hyperlink r:id="rId25" w:anchor="!/proteins/78113/478566%7CStreptomyces%20phage%20EGole/viral%20segment/">
              <w:r w:rsidR="000A22F2">
                <w:rPr>
                  <w:rFonts w:ascii="Arial" w:eastAsia="Arial" w:hAnsi="Arial" w:cs="Arial"/>
                  <w:color w:val="000080"/>
                  <w:sz w:val="16"/>
                  <w:szCs w:val="16"/>
                  <w:u w:val="single"/>
                </w:rPr>
                <w:t>228</w:t>
              </w:r>
            </w:hyperlink>
          </w:p>
        </w:tc>
        <w:tc>
          <w:tcPr>
            <w:tcW w:w="794" w:type="dxa"/>
            <w:vAlign w:val="center"/>
          </w:tcPr>
          <w:p w14:paraId="00D7BA5B" w14:textId="77777777" w:rsidR="0009707F" w:rsidRDefault="000A22F2">
            <w:pPr>
              <w:rPr>
                <w:rFonts w:ascii="Arial" w:eastAsia="Arial" w:hAnsi="Arial" w:cs="Arial"/>
                <w:sz w:val="16"/>
                <w:szCs w:val="16"/>
              </w:rPr>
            </w:pPr>
            <w:r>
              <w:rPr>
                <w:rFonts w:ascii="Arial" w:eastAsia="Arial" w:hAnsi="Arial" w:cs="Arial"/>
                <w:sz w:val="16"/>
                <w:szCs w:val="16"/>
              </w:rPr>
              <w:t>47</w:t>
            </w:r>
          </w:p>
        </w:tc>
        <w:tc>
          <w:tcPr>
            <w:tcW w:w="1084" w:type="dxa"/>
            <w:vAlign w:val="center"/>
          </w:tcPr>
          <w:p w14:paraId="6F14EEC0" w14:textId="77777777" w:rsidR="0009707F" w:rsidRDefault="000A22F2">
            <w:pPr>
              <w:rPr>
                <w:rFonts w:ascii="Arial" w:eastAsia="Arial" w:hAnsi="Arial" w:cs="Arial"/>
                <w:sz w:val="16"/>
                <w:szCs w:val="16"/>
              </w:rPr>
            </w:pPr>
            <w:r>
              <w:rPr>
                <w:rFonts w:ascii="Arial" w:eastAsia="Arial" w:hAnsi="Arial" w:cs="Arial"/>
                <w:sz w:val="16"/>
                <w:szCs w:val="16"/>
              </w:rPr>
              <w:t>90.6</w:t>
            </w:r>
          </w:p>
        </w:tc>
        <w:tc>
          <w:tcPr>
            <w:tcW w:w="983" w:type="dxa"/>
            <w:vAlign w:val="center"/>
          </w:tcPr>
          <w:p w14:paraId="111836B6" w14:textId="77777777" w:rsidR="0009707F" w:rsidRDefault="000A22F2">
            <w:pPr>
              <w:rPr>
                <w:rFonts w:ascii="Arial" w:eastAsia="Arial" w:hAnsi="Arial" w:cs="Arial"/>
                <w:sz w:val="16"/>
                <w:szCs w:val="16"/>
              </w:rPr>
            </w:pPr>
            <w:r>
              <w:rPr>
                <w:rFonts w:ascii="Arial" w:eastAsia="Arial" w:hAnsi="Arial" w:cs="Arial"/>
                <w:sz w:val="16"/>
                <w:szCs w:val="16"/>
              </w:rPr>
              <w:t>84.1</w:t>
            </w:r>
          </w:p>
        </w:tc>
      </w:tr>
      <w:tr w:rsidR="0009707F" w14:paraId="4AE82E48" w14:textId="77777777">
        <w:tc>
          <w:tcPr>
            <w:tcW w:w="1195" w:type="dxa"/>
            <w:vAlign w:val="center"/>
          </w:tcPr>
          <w:p w14:paraId="7FA75B0E" w14:textId="77777777" w:rsidR="0009707F" w:rsidRDefault="000A22F2">
            <w:pPr>
              <w:rPr>
                <w:rFonts w:ascii="Arial" w:eastAsia="Arial" w:hAnsi="Arial" w:cs="Arial"/>
                <w:sz w:val="16"/>
                <w:szCs w:val="16"/>
              </w:rPr>
            </w:pPr>
            <w:r>
              <w:rPr>
                <w:rFonts w:ascii="Arial" w:eastAsia="Arial" w:hAnsi="Arial" w:cs="Arial"/>
                <w:sz w:val="16"/>
                <w:szCs w:val="16"/>
              </w:rPr>
              <w:t>Streptomyces phage Evy</w:t>
            </w:r>
          </w:p>
        </w:tc>
        <w:tc>
          <w:tcPr>
            <w:tcW w:w="1204" w:type="dxa"/>
            <w:vAlign w:val="center"/>
          </w:tcPr>
          <w:p w14:paraId="525D3639" w14:textId="77777777" w:rsidR="0009707F" w:rsidRDefault="0009707F">
            <w:pPr>
              <w:rPr>
                <w:rFonts w:ascii="Arial" w:eastAsia="Arial" w:hAnsi="Arial" w:cs="Arial"/>
                <w:sz w:val="16"/>
                <w:szCs w:val="16"/>
              </w:rPr>
            </w:pPr>
          </w:p>
        </w:tc>
        <w:tc>
          <w:tcPr>
            <w:tcW w:w="1385" w:type="dxa"/>
            <w:vAlign w:val="center"/>
          </w:tcPr>
          <w:p w14:paraId="5CF61893" w14:textId="77777777" w:rsidR="0009707F" w:rsidRDefault="00C029DA">
            <w:pPr>
              <w:rPr>
                <w:rFonts w:ascii="Arial" w:eastAsia="Arial" w:hAnsi="Arial" w:cs="Arial"/>
                <w:sz w:val="16"/>
                <w:szCs w:val="16"/>
              </w:rPr>
            </w:pPr>
            <w:hyperlink r:id="rId26">
              <w:r w:rsidR="000A22F2">
                <w:rPr>
                  <w:rFonts w:ascii="Arial" w:eastAsia="Arial" w:hAnsi="Arial" w:cs="Arial"/>
                  <w:color w:val="0000FF"/>
                  <w:sz w:val="16"/>
                  <w:szCs w:val="16"/>
                  <w:u w:val="single"/>
                </w:rPr>
                <w:t>MK977711.1</w:t>
              </w:r>
            </w:hyperlink>
          </w:p>
        </w:tc>
        <w:tc>
          <w:tcPr>
            <w:tcW w:w="821" w:type="dxa"/>
            <w:vAlign w:val="center"/>
          </w:tcPr>
          <w:p w14:paraId="6819A082" w14:textId="77777777" w:rsidR="0009707F" w:rsidRDefault="000A22F2">
            <w:pPr>
              <w:rPr>
                <w:rFonts w:ascii="Arial" w:eastAsia="Arial" w:hAnsi="Arial" w:cs="Arial"/>
                <w:sz w:val="16"/>
                <w:szCs w:val="16"/>
              </w:rPr>
            </w:pPr>
            <w:r>
              <w:rPr>
                <w:rFonts w:ascii="Arial" w:eastAsia="Arial" w:hAnsi="Arial" w:cs="Arial"/>
                <w:sz w:val="16"/>
                <w:szCs w:val="16"/>
              </w:rPr>
              <w:t>132.98</w:t>
            </w:r>
          </w:p>
        </w:tc>
        <w:tc>
          <w:tcPr>
            <w:tcW w:w="694" w:type="dxa"/>
            <w:vAlign w:val="center"/>
          </w:tcPr>
          <w:p w14:paraId="3A2F84A7" w14:textId="77777777" w:rsidR="0009707F" w:rsidRDefault="000A22F2">
            <w:pPr>
              <w:rPr>
                <w:rFonts w:ascii="Arial" w:eastAsia="Arial" w:hAnsi="Arial" w:cs="Arial"/>
                <w:sz w:val="16"/>
                <w:szCs w:val="16"/>
              </w:rPr>
            </w:pPr>
            <w:r>
              <w:rPr>
                <w:rFonts w:ascii="Arial" w:eastAsia="Arial" w:hAnsi="Arial" w:cs="Arial"/>
                <w:sz w:val="16"/>
                <w:szCs w:val="16"/>
              </w:rPr>
              <w:t>49.6</w:t>
            </w:r>
          </w:p>
        </w:tc>
        <w:tc>
          <w:tcPr>
            <w:tcW w:w="850" w:type="dxa"/>
            <w:vAlign w:val="center"/>
          </w:tcPr>
          <w:p w14:paraId="4C00C3F3" w14:textId="77777777" w:rsidR="0009707F" w:rsidRDefault="00C029DA">
            <w:pPr>
              <w:rPr>
                <w:rFonts w:ascii="Arial" w:eastAsia="Arial" w:hAnsi="Arial" w:cs="Arial"/>
                <w:sz w:val="16"/>
                <w:szCs w:val="16"/>
              </w:rPr>
            </w:pPr>
            <w:hyperlink r:id="rId27" w:anchor="!/proteins/82597/609665%7CStreptomyces%20phage%20Evy/viral%20segment/">
              <w:r w:rsidR="000A22F2">
                <w:rPr>
                  <w:rFonts w:ascii="Arial" w:eastAsia="Arial" w:hAnsi="Arial" w:cs="Arial"/>
                  <w:color w:val="000080"/>
                  <w:sz w:val="16"/>
                  <w:szCs w:val="16"/>
                  <w:u w:val="single"/>
                </w:rPr>
                <w:t>226</w:t>
              </w:r>
            </w:hyperlink>
          </w:p>
        </w:tc>
        <w:tc>
          <w:tcPr>
            <w:tcW w:w="794" w:type="dxa"/>
            <w:vAlign w:val="center"/>
          </w:tcPr>
          <w:p w14:paraId="546A0D7A" w14:textId="77777777" w:rsidR="0009707F" w:rsidRDefault="000A22F2">
            <w:pPr>
              <w:rPr>
                <w:rFonts w:ascii="Arial" w:eastAsia="Arial" w:hAnsi="Arial" w:cs="Arial"/>
                <w:sz w:val="16"/>
                <w:szCs w:val="16"/>
              </w:rPr>
            </w:pPr>
            <w:r>
              <w:rPr>
                <w:rFonts w:ascii="Arial" w:eastAsia="Arial" w:hAnsi="Arial" w:cs="Arial"/>
                <w:sz w:val="16"/>
                <w:szCs w:val="16"/>
              </w:rPr>
              <w:t>33</w:t>
            </w:r>
          </w:p>
        </w:tc>
        <w:tc>
          <w:tcPr>
            <w:tcW w:w="1084" w:type="dxa"/>
            <w:vAlign w:val="center"/>
          </w:tcPr>
          <w:p w14:paraId="0393F71D" w14:textId="77777777" w:rsidR="0009707F" w:rsidRDefault="000A22F2">
            <w:pPr>
              <w:rPr>
                <w:rFonts w:ascii="Arial" w:eastAsia="Arial" w:hAnsi="Arial" w:cs="Arial"/>
                <w:sz w:val="16"/>
                <w:szCs w:val="16"/>
              </w:rPr>
            </w:pPr>
            <w:r>
              <w:rPr>
                <w:rFonts w:ascii="Arial" w:eastAsia="Arial" w:hAnsi="Arial" w:cs="Arial"/>
                <w:sz w:val="16"/>
                <w:szCs w:val="16"/>
              </w:rPr>
              <w:t>78.4</w:t>
            </w:r>
          </w:p>
        </w:tc>
        <w:tc>
          <w:tcPr>
            <w:tcW w:w="983" w:type="dxa"/>
            <w:vAlign w:val="center"/>
          </w:tcPr>
          <w:p w14:paraId="5E7BB554" w14:textId="77777777" w:rsidR="0009707F" w:rsidRDefault="000A22F2">
            <w:pPr>
              <w:rPr>
                <w:rFonts w:ascii="Arial" w:eastAsia="Arial" w:hAnsi="Arial" w:cs="Arial"/>
                <w:sz w:val="16"/>
                <w:szCs w:val="16"/>
              </w:rPr>
            </w:pPr>
            <w:r>
              <w:rPr>
                <w:rFonts w:ascii="Arial" w:eastAsia="Arial" w:hAnsi="Arial" w:cs="Arial"/>
                <w:sz w:val="16"/>
                <w:szCs w:val="16"/>
              </w:rPr>
              <w:t>78.8</w:t>
            </w:r>
          </w:p>
        </w:tc>
      </w:tr>
      <w:tr w:rsidR="0009707F" w14:paraId="6329E52F" w14:textId="77777777">
        <w:tc>
          <w:tcPr>
            <w:tcW w:w="1195" w:type="dxa"/>
            <w:vAlign w:val="center"/>
          </w:tcPr>
          <w:p w14:paraId="48446708" w14:textId="77777777" w:rsidR="0009707F" w:rsidRDefault="000A22F2">
            <w:pPr>
              <w:rPr>
                <w:rFonts w:ascii="Arial" w:eastAsia="Arial" w:hAnsi="Arial" w:cs="Arial"/>
                <w:sz w:val="16"/>
                <w:szCs w:val="16"/>
              </w:rPr>
            </w:pPr>
            <w:r>
              <w:rPr>
                <w:rFonts w:ascii="Arial" w:eastAsia="Arial" w:hAnsi="Arial" w:cs="Arial"/>
                <w:sz w:val="16"/>
                <w:szCs w:val="16"/>
              </w:rPr>
              <w:t>Streptomyces phage Braelyn</w:t>
            </w:r>
          </w:p>
        </w:tc>
        <w:tc>
          <w:tcPr>
            <w:tcW w:w="1204" w:type="dxa"/>
            <w:vAlign w:val="center"/>
          </w:tcPr>
          <w:p w14:paraId="033186CF" w14:textId="77777777" w:rsidR="0009707F" w:rsidRDefault="0009707F">
            <w:pPr>
              <w:rPr>
                <w:rFonts w:ascii="Arial" w:eastAsia="Arial" w:hAnsi="Arial" w:cs="Arial"/>
                <w:sz w:val="16"/>
                <w:szCs w:val="16"/>
              </w:rPr>
            </w:pPr>
          </w:p>
        </w:tc>
        <w:tc>
          <w:tcPr>
            <w:tcW w:w="1385" w:type="dxa"/>
            <w:vAlign w:val="center"/>
          </w:tcPr>
          <w:p w14:paraId="1E0D7211" w14:textId="77777777" w:rsidR="0009707F" w:rsidRDefault="00C029DA">
            <w:pPr>
              <w:rPr>
                <w:rFonts w:ascii="Arial" w:eastAsia="Arial" w:hAnsi="Arial" w:cs="Arial"/>
                <w:sz w:val="16"/>
                <w:szCs w:val="16"/>
              </w:rPr>
            </w:pPr>
            <w:hyperlink r:id="rId28">
              <w:r w:rsidR="000A22F2">
                <w:rPr>
                  <w:rFonts w:ascii="Arial" w:eastAsia="Arial" w:hAnsi="Arial" w:cs="Arial"/>
                  <w:color w:val="0000FF"/>
                  <w:sz w:val="16"/>
                  <w:szCs w:val="16"/>
                  <w:u w:val="single"/>
                </w:rPr>
                <w:t>MN096371.1</w:t>
              </w:r>
            </w:hyperlink>
          </w:p>
        </w:tc>
        <w:tc>
          <w:tcPr>
            <w:tcW w:w="821" w:type="dxa"/>
            <w:vAlign w:val="center"/>
          </w:tcPr>
          <w:p w14:paraId="04DDB8DE" w14:textId="77777777" w:rsidR="0009707F" w:rsidRDefault="000A22F2">
            <w:pPr>
              <w:rPr>
                <w:rFonts w:ascii="Arial" w:eastAsia="Arial" w:hAnsi="Arial" w:cs="Arial"/>
                <w:sz w:val="16"/>
                <w:szCs w:val="16"/>
              </w:rPr>
            </w:pPr>
            <w:r>
              <w:rPr>
                <w:rFonts w:ascii="Arial" w:eastAsia="Arial" w:hAnsi="Arial" w:cs="Arial"/>
                <w:sz w:val="16"/>
                <w:szCs w:val="16"/>
              </w:rPr>
              <w:t>131.23</w:t>
            </w:r>
          </w:p>
        </w:tc>
        <w:tc>
          <w:tcPr>
            <w:tcW w:w="694" w:type="dxa"/>
            <w:vAlign w:val="center"/>
          </w:tcPr>
          <w:p w14:paraId="4909DA17" w14:textId="77777777" w:rsidR="0009707F" w:rsidRDefault="000A22F2">
            <w:pPr>
              <w:rPr>
                <w:rFonts w:ascii="Arial" w:eastAsia="Arial" w:hAnsi="Arial" w:cs="Arial"/>
                <w:sz w:val="16"/>
                <w:szCs w:val="16"/>
              </w:rPr>
            </w:pPr>
            <w:r>
              <w:rPr>
                <w:rFonts w:ascii="Arial" w:eastAsia="Arial" w:hAnsi="Arial" w:cs="Arial"/>
                <w:sz w:val="16"/>
                <w:szCs w:val="16"/>
              </w:rPr>
              <w:t>50.1</w:t>
            </w:r>
          </w:p>
        </w:tc>
        <w:tc>
          <w:tcPr>
            <w:tcW w:w="850" w:type="dxa"/>
            <w:vAlign w:val="center"/>
          </w:tcPr>
          <w:p w14:paraId="1A007C19" w14:textId="77777777" w:rsidR="0009707F" w:rsidRDefault="00C029DA">
            <w:pPr>
              <w:rPr>
                <w:rFonts w:ascii="Arial" w:eastAsia="Arial" w:hAnsi="Arial" w:cs="Arial"/>
                <w:sz w:val="16"/>
                <w:szCs w:val="16"/>
              </w:rPr>
            </w:pPr>
            <w:hyperlink r:id="rId29" w:anchor="!/proteins/82673/614449%7CStreptomyces%20phage%20Braelyn/viral%20segment/">
              <w:r w:rsidR="000A22F2">
                <w:rPr>
                  <w:rFonts w:ascii="Arial" w:eastAsia="Arial" w:hAnsi="Arial" w:cs="Arial"/>
                  <w:color w:val="000080"/>
                  <w:sz w:val="16"/>
                  <w:szCs w:val="16"/>
                  <w:u w:val="single"/>
                </w:rPr>
                <w:t>228</w:t>
              </w:r>
            </w:hyperlink>
          </w:p>
        </w:tc>
        <w:tc>
          <w:tcPr>
            <w:tcW w:w="794" w:type="dxa"/>
            <w:vAlign w:val="center"/>
          </w:tcPr>
          <w:p w14:paraId="1FA59976" w14:textId="77777777" w:rsidR="0009707F" w:rsidRDefault="000A22F2">
            <w:pPr>
              <w:rPr>
                <w:rFonts w:ascii="Arial" w:eastAsia="Arial" w:hAnsi="Arial" w:cs="Arial"/>
                <w:sz w:val="16"/>
                <w:szCs w:val="16"/>
              </w:rPr>
            </w:pPr>
            <w:r>
              <w:rPr>
                <w:rFonts w:ascii="Arial" w:eastAsia="Arial" w:hAnsi="Arial" w:cs="Arial"/>
                <w:sz w:val="16"/>
                <w:szCs w:val="16"/>
              </w:rPr>
              <w:t>38</w:t>
            </w:r>
          </w:p>
        </w:tc>
        <w:tc>
          <w:tcPr>
            <w:tcW w:w="1084" w:type="dxa"/>
            <w:vAlign w:val="center"/>
          </w:tcPr>
          <w:p w14:paraId="2EFCF732" w14:textId="77777777" w:rsidR="0009707F" w:rsidRDefault="000A22F2">
            <w:pPr>
              <w:rPr>
                <w:rFonts w:ascii="Arial" w:eastAsia="Arial" w:hAnsi="Arial" w:cs="Arial"/>
                <w:sz w:val="16"/>
                <w:szCs w:val="16"/>
              </w:rPr>
            </w:pPr>
            <w:r>
              <w:rPr>
                <w:rFonts w:ascii="Arial" w:eastAsia="Arial" w:hAnsi="Arial" w:cs="Arial"/>
                <w:sz w:val="16"/>
                <w:szCs w:val="16"/>
              </w:rPr>
              <w:t>77.4</w:t>
            </w:r>
          </w:p>
        </w:tc>
        <w:tc>
          <w:tcPr>
            <w:tcW w:w="983" w:type="dxa"/>
            <w:vAlign w:val="center"/>
          </w:tcPr>
          <w:p w14:paraId="39A3FCE6" w14:textId="77777777" w:rsidR="0009707F" w:rsidRDefault="000A22F2">
            <w:pPr>
              <w:rPr>
                <w:rFonts w:ascii="Arial" w:eastAsia="Arial" w:hAnsi="Arial" w:cs="Arial"/>
                <w:sz w:val="16"/>
                <w:szCs w:val="16"/>
              </w:rPr>
            </w:pPr>
            <w:r>
              <w:rPr>
                <w:rFonts w:ascii="Arial" w:eastAsia="Arial" w:hAnsi="Arial" w:cs="Arial"/>
                <w:sz w:val="16"/>
                <w:szCs w:val="16"/>
              </w:rPr>
              <w:t>81.0</w:t>
            </w:r>
          </w:p>
        </w:tc>
      </w:tr>
    </w:tbl>
    <w:p w14:paraId="594A2FEA" w14:textId="77777777" w:rsidR="0009707F" w:rsidRDefault="0009707F">
      <w:pPr>
        <w:rPr>
          <w:rFonts w:ascii="Arial" w:eastAsia="Arial" w:hAnsi="Arial" w:cs="Arial"/>
          <w:b/>
          <w:color w:val="0000FF"/>
          <w:sz w:val="20"/>
          <w:szCs w:val="20"/>
        </w:rPr>
      </w:pPr>
    </w:p>
    <w:p w14:paraId="0E1CF6CF" w14:textId="77777777" w:rsidR="0009707F" w:rsidRDefault="000A22F2">
      <w:pPr>
        <w:rPr>
          <w:rFonts w:ascii="Arial" w:eastAsia="Arial" w:hAnsi="Arial" w:cs="Arial"/>
          <w:b/>
          <w:sz w:val="20"/>
          <w:szCs w:val="20"/>
        </w:rPr>
      </w:pPr>
      <w:r>
        <w:rPr>
          <w:rFonts w:ascii="Arial" w:eastAsia="Arial" w:hAnsi="Arial" w:cs="Arial"/>
          <w:b/>
          <w:noProof/>
          <w:sz w:val="20"/>
          <w:szCs w:val="20"/>
        </w:rPr>
        <w:drawing>
          <wp:inline distT="0" distB="0" distL="0" distR="0" wp14:anchorId="7A4E46AD" wp14:editId="27FA4F83">
            <wp:extent cx="5943600" cy="438150"/>
            <wp:effectExtent l="0" t="0" r="0" b="0"/>
            <wp:docPr id="2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0"/>
                    <a:srcRect/>
                    <a:stretch>
                      <a:fillRect/>
                    </a:stretch>
                  </pic:blipFill>
                  <pic:spPr>
                    <a:xfrm>
                      <a:off x="0" y="0"/>
                      <a:ext cx="5943600" cy="438150"/>
                    </a:xfrm>
                    <a:prstGeom prst="rect">
                      <a:avLst/>
                    </a:prstGeom>
                    <a:ln/>
                  </pic:spPr>
                </pic:pic>
              </a:graphicData>
            </a:graphic>
          </wp:inline>
        </w:drawing>
      </w:r>
    </w:p>
    <w:p w14:paraId="08350BAA" w14:textId="77777777" w:rsidR="0009707F" w:rsidRDefault="000A22F2">
      <w:pPr>
        <w:rPr>
          <w:rFonts w:ascii="Arial" w:eastAsia="Arial" w:hAnsi="Arial" w:cs="Arial"/>
          <w:b/>
          <w:color w:val="0000FF"/>
          <w:sz w:val="20"/>
          <w:szCs w:val="20"/>
        </w:rPr>
      </w:pPr>
      <w:bookmarkStart w:id="2" w:name="_heading=h.1fob9te" w:colFirst="0" w:colLast="0"/>
      <w:bookmarkEnd w:id="2"/>
      <w:r>
        <w:rPr>
          <w:rFonts w:ascii="Arial" w:eastAsia="Arial" w:hAnsi="Arial" w:cs="Arial"/>
          <w:b/>
          <w:color w:val="0000FF"/>
          <w:sz w:val="20"/>
          <w:szCs w:val="20"/>
        </w:rPr>
        <w:t xml:space="preserve">Electron micrograph: </w:t>
      </w:r>
      <w:r>
        <w:rPr>
          <w:rFonts w:ascii="Arial" w:eastAsia="Arial" w:hAnsi="Arial" w:cs="Arial"/>
          <w:sz w:val="20"/>
          <w:szCs w:val="20"/>
        </w:rPr>
        <w:t xml:space="preserve">Electron micrographs of negatively stained Streptomyces phage Daubenski (https://phagesdb.org/phages/Daubenski/).  Limited permission was granted by The Actinobacteriophages Database (https://phagesdb.org/), funded by the Howard Hughes Medical Institute, to use this electron micrograph for this taxonomy proposal; it cannot be reused without permission of The Actinobacteriophages Database.  </w:t>
      </w:r>
    </w:p>
    <w:p w14:paraId="760D2F87" w14:textId="77777777" w:rsidR="0009707F" w:rsidRDefault="000A22F2">
      <w:pPr>
        <w:jc w:val="center"/>
        <w:rPr>
          <w:rFonts w:ascii="Arial" w:eastAsia="Arial" w:hAnsi="Arial" w:cs="Arial"/>
          <w:b/>
          <w:sz w:val="22"/>
          <w:szCs w:val="22"/>
        </w:rPr>
      </w:pPr>
      <w:r>
        <w:rPr>
          <w:rFonts w:ascii="Arial" w:eastAsia="Arial" w:hAnsi="Arial" w:cs="Arial"/>
          <w:b/>
          <w:noProof/>
          <w:sz w:val="22"/>
          <w:szCs w:val="22"/>
        </w:rPr>
        <w:lastRenderedPageBreak/>
        <w:drawing>
          <wp:inline distT="0" distB="0" distL="0" distR="0" wp14:anchorId="48C92763" wp14:editId="67F8CFCA">
            <wp:extent cx="1997822" cy="2729899"/>
            <wp:effectExtent l="0" t="0" r="0" b="0"/>
            <wp:docPr id="2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1997822" cy="2729899"/>
                    </a:xfrm>
                    <a:prstGeom prst="rect">
                      <a:avLst/>
                    </a:prstGeom>
                    <a:ln/>
                  </pic:spPr>
                </pic:pic>
              </a:graphicData>
            </a:graphic>
          </wp:inline>
        </w:drawing>
      </w:r>
    </w:p>
    <w:p w14:paraId="72E545C7" w14:textId="77777777" w:rsidR="0009707F" w:rsidRDefault="0009707F">
      <w:pPr>
        <w:rPr>
          <w:rFonts w:ascii="Arial" w:eastAsia="Arial" w:hAnsi="Arial" w:cs="Arial"/>
          <w:b/>
          <w:sz w:val="22"/>
          <w:szCs w:val="22"/>
        </w:rPr>
      </w:pPr>
    </w:p>
    <w:p w14:paraId="60B2C752" w14:textId="77777777" w:rsidR="0009707F" w:rsidRDefault="0009707F">
      <w:pPr>
        <w:rPr>
          <w:rFonts w:ascii="Arial" w:eastAsia="Arial" w:hAnsi="Arial" w:cs="Arial"/>
          <w:b/>
        </w:rPr>
      </w:pPr>
    </w:p>
    <w:p w14:paraId="45958183" w14:textId="77777777" w:rsidR="0009707F" w:rsidRDefault="000A22F2">
      <w:pPr>
        <w:spacing w:before="120" w:after="120"/>
        <w:rPr>
          <w:rFonts w:ascii="Arial" w:eastAsia="Arial" w:hAnsi="Arial" w:cs="Arial"/>
          <w:b/>
        </w:rPr>
      </w:pPr>
      <w:r>
        <w:rPr>
          <w:rFonts w:ascii="Arial" w:eastAsia="Arial" w:hAnsi="Arial" w:cs="Arial"/>
          <w:b/>
        </w:rPr>
        <w:t>References</w:t>
      </w:r>
    </w:p>
    <w:p w14:paraId="13964793"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074482BC" w14:textId="77777777" w:rsidR="0009707F" w:rsidRDefault="0009707F">
      <w:pPr>
        <w:pBdr>
          <w:top w:val="nil"/>
          <w:left w:val="nil"/>
          <w:bottom w:val="nil"/>
          <w:right w:val="nil"/>
          <w:between w:val="nil"/>
        </w:pBdr>
        <w:ind w:left="567" w:hanging="567"/>
        <w:rPr>
          <w:rFonts w:ascii="Arial" w:eastAsia="Arial" w:hAnsi="Arial" w:cs="Arial"/>
          <w:color w:val="000000"/>
          <w:sz w:val="22"/>
          <w:szCs w:val="22"/>
        </w:rPr>
      </w:pPr>
    </w:p>
    <w:p w14:paraId="6A581FD7"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2: Rohwer F, Edwards R. The Phage Proteomic Tree: a genome-based taxonomy for phage. J Bacteriol. 2002 Aug;184(16):4529-35. PubMed PMID: 12142423</w:t>
      </w:r>
    </w:p>
    <w:p w14:paraId="51CA6820" w14:textId="77777777" w:rsidR="0009707F" w:rsidRDefault="000A22F2">
      <w:pPr>
        <w:spacing w:before="120" w:after="120"/>
        <w:ind w:left="567" w:hanging="567"/>
        <w:rPr>
          <w:rFonts w:ascii="Arial" w:eastAsia="Arial" w:hAnsi="Arial" w:cs="Arial"/>
          <w:sz w:val="22"/>
          <w:szCs w:val="22"/>
        </w:rPr>
      </w:pPr>
      <w:r>
        <w:rPr>
          <w:rFonts w:ascii="Arial" w:eastAsia="Arial" w:hAnsi="Arial" w:cs="Arial"/>
          <w:sz w:val="22"/>
          <w:szCs w:val="22"/>
        </w:rPr>
        <w:t xml:space="preserve">3: Moraru C, Varsani A, Kropinski AM. VIRIDIC-A Novel Tool to Calculate the Intergenomic Similarities of Prokaryote-Infecting Viruses. Viruses. 2020 Nov 6;12(11):1268. doi: 10.3390/v12111268. PMID: 33172115; PMCID: PMC7694805. </w:t>
      </w:r>
      <w:hyperlink r:id="rId32">
        <w:r>
          <w:rPr>
            <w:rFonts w:ascii="Arial" w:eastAsia="Arial" w:hAnsi="Arial" w:cs="Arial"/>
            <w:color w:val="0000FF"/>
            <w:sz w:val="22"/>
            <w:szCs w:val="22"/>
            <w:u w:val="single"/>
          </w:rPr>
          <w:t>http://rhea.icbm.uni-oldenburg.de/VIRIDIC/</w:t>
        </w:r>
      </w:hyperlink>
      <w:r>
        <w:rPr>
          <w:rFonts w:ascii="Arial" w:eastAsia="Arial" w:hAnsi="Arial" w:cs="Arial"/>
          <w:sz w:val="22"/>
          <w:szCs w:val="22"/>
        </w:rPr>
        <w:t xml:space="preserve"> </w:t>
      </w:r>
    </w:p>
    <w:p w14:paraId="5D09787A"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4F5FCCE4" w14:textId="77777777" w:rsidR="0009707F" w:rsidRDefault="0009707F">
      <w:pPr>
        <w:pBdr>
          <w:top w:val="nil"/>
          <w:left w:val="nil"/>
          <w:bottom w:val="nil"/>
          <w:right w:val="nil"/>
          <w:between w:val="nil"/>
        </w:pBdr>
        <w:ind w:left="567" w:hanging="567"/>
        <w:rPr>
          <w:rFonts w:ascii="Arial" w:eastAsia="Arial" w:hAnsi="Arial" w:cs="Arial"/>
          <w:color w:val="000000"/>
          <w:sz w:val="22"/>
          <w:szCs w:val="22"/>
        </w:rPr>
      </w:pPr>
    </w:p>
    <w:p w14:paraId="2944283D"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6C864BB" w14:textId="77777777" w:rsidR="0009707F" w:rsidRDefault="0009707F">
      <w:pPr>
        <w:pBdr>
          <w:top w:val="nil"/>
          <w:left w:val="nil"/>
          <w:bottom w:val="nil"/>
          <w:right w:val="nil"/>
          <w:between w:val="nil"/>
        </w:pBdr>
        <w:ind w:left="567" w:hanging="567"/>
        <w:rPr>
          <w:rFonts w:ascii="Arial" w:eastAsia="Arial" w:hAnsi="Arial" w:cs="Arial"/>
          <w:color w:val="000000"/>
          <w:sz w:val="22"/>
          <w:szCs w:val="22"/>
        </w:rPr>
      </w:pPr>
    </w:p>
    <w:p w14:paraId="40CD3918"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1C141B6C" w14:textId="77777777" w:rsidR="0009707F" w:rsidRDefault="0009707F">
      <w:pPr>
        <w:pBdr>
          <w:top w:val="nil"/>
          <w:left w:val="nil"/>
          <w:bottom w:val="nil"/>
          <w:right w:val="nil"/>
          <w:between w:val="nil"/>
        </w:pBdr>
        <w:ind w:left="567" w:hanging="567"/>
        <w:rPr>
          <w:rFonts w:ascii="Arial" w:eastAsia="Arial" w:hAnsi="Arial" w:cs="Arial"/>
          <w:color w:val="000000"/>
          <w:sz w:val="22"/>
          <w:szCs w:val="22"/>
        </w:rPr>
      </w:pPr>
    </w:p>
    <w:p w14:paraId="4A6CBF92" w14:textId="77777777" w:rsidR="0009707F" w:rsidRDefault="000A22F2">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Lowe, T.M. and Chan, P.P. (2016) tRNAscan-SE On-line: Search and Contextual Analysis of Transfer RNA Genes. Nucl. Acids Res. 44: W54-57.</w:t>
      </w:r>
    </w:p>
    <w:p w14:paraId="48FE2CDD" w14:textId="77777777" w:rsidR="0009707F" w:rsidRDefault="000A22F2">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p>
    <w:p w14:paraId="5A0BF88B" w14:textId="77777777" w:rsidR="0009707F" w:rsidRDefault="000A22F2">
      <w:pPr>
        <w:spacing w:before="120" w:after="120"/>
        <w:ind w:left="709" w:hanging="709"/>
        <w:rPr>
          <w:rFonts w:ascii="Arial" w:eastAsia="Arial" w:hAnsi="Arial" w:cs="Arial"/>
          <w:sz w:val="22"/>
          <w:szCs w:val="22"/>
        </w:rPr>
      </w:pPr>
      <w:r>
        <w:rPr>
          <w:rFonts w:ascii="Arial" w:eastAsia="Arial" w:hAnsi="Arial" w:cs="Arial"/>
          <w:sz w:val="22"/>
          <w:szCs w:val="22"/>
        </w:rPr>
        <w:t>9: Turner D, Kropinski AM, Adriaenssens EM. 2021. A Roadmap for Genome-Based Phage Taxonomy. Viruses 2021, 13, 506. https://doi.org/10.3390/v13030506</w:t>
      </w:r>
    </w:p>
    <w:p w14:paraId="184AD9AB" w14:textId="77777777" w:rsidR="0009707F" w:rsidRDefault="0009707F">
      <w:pPr>
        <w:pBdr>
          <w:top w:val="nil"/>
          <w:left w:val="nil"/>
          <w:bottom w:val="nil"/>
          <w:right w:val="nil"/>
          <w:between w:val="nil"/>
        </w:pBdr>
        <w:ind w:left="567" w:hanging="567"/>
        <w:rPr>
          <w:rFonts w:ascii="Arial" w:eastAsia="Arial" w:hAnsi="Arial" w:cs="Arial"/>
          <w:b/>
          <w:color w:val="000000"/>
          <w:sz w:val="22"/>
          <w:szCs w:val="22"/>
        </w:rPr>
      </w:pPr>
    </w:p>
    <w:p w14:paraId="0A8D418D" w14:textId="77777777" w:rsidR="0009707F" w:rsidRDefault="0009707F">
      <w:pPr>
        <w:spacing w:before="120" w:after="120"/>
        <w:rPr>
          <w:rFonts w:ascii="Arial" w:eastAsia="Arial" w:hAnsi="Arial" w:cs="Arial"/>
          <w:b/>
        </w:rPr>
      </w:pPr>
    </w:p>
    <w:sectPr w:rsidR="0009707F">
      <w:headerReference w:type="default" r:id="rId33"/>
      <w:pgSz w:w="11900" w:h="16840"/>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ACC879" w14:textId="77777777" w:rsidR="00C029DA" w:rsidRDefault="00C029DA">
      <w:r>
        <w:separator/>
      </w:r>
    </w:p>
  </w:endnote>
  <w:endnote w:type="continuationSeparator" w:id="0">
    <w:p w14:paraId="0C5ABD19" w14:textId="77777777" w:rsidR="00C029DA" w:rsidRDefault="00C029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183EE0" w14:textId="77777777" w:rsidR="00C029DA" w:rsidRDefault="00C029DA">
      <w:r>
        <w:separator/>
      </w:r>
    </w:p>
  </w:footnote>
  <w:footnote w:type="continuationSeparator" w:id="0">
    <w:p w14:paraId="22747337" w14:textId="77777777" w:rsidR="00C029DA" w:rsidRDefault="00C029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F115F" w14:textId="77777777" w:rsidR="0009707F" w:rsidRDefault="000A22F2">
    <w:pPr>
      <w:pBdr>
        <w:top w:val="nil"/>
        <w:left w:val="nil"/>
        <w:bottom w:val="nil"/>
        <w:right w:val="nil"/>
        <w:between w:val="nil"/>
      </w:pBdr>
      <w:tabs>
        <w:tab w:val="center" w:pos="4513"/>
        <w:tab w:val="right" w:pos="9026"/>
      </w:tabs>
      <w:jc w:val="right"/>
      <w:rPr>
        <w:color w:val="000000"/>
      </w:rPr>
    </w:pPr>
    <w:r>
      <w:rPr>
        <w:color w:val="000000"/>
      </w:rPr>
      <w:t>March 2020</w:t>
    </w:r>
  </w:p>
  <w:p w14:paraId="633A776D" w14:textId="77777777" w:rsidR="0009707F" w:rsidRDefault="0009707F">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707F"/>
    <w:rsid w:val="0009707F"/>
    <w:rsid w:val="000A22F2"/>
    <w:rsid w:val="00533307"/>
    <w:rsid w:val="00C029DA"/>
    <w:rsid w:val="00EA7EB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365E91A1"/>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12688A"/>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hyperlink" Target="https://www.ncbi.nlm.nih.gov/nuccore/MF347639.1" TargetMode="External"/><Relationship Id="rId26" Type="http://schemas.openxmlformats.org/officeDocument/2006/relationships/hyperlink" Target="https://www.ncbi.nlm.nih.gov/nuccore/MK977711.1" TargetMode="External"/><Relationship Id="rId3" Type="http://schemas.openxmlformats.org/officeDocument/2006/relationships/settings" Target="settings.xml"/><Relationship Id="rId21" Type="http://schemas.openxmlformats.org/officeDocument/2006/relationships/hyperlink" Target="https://www.ncbi.nlm.nih.gov/genome/browse/"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s://www.ncbi.nlm.nih.gov/nuccore/NC_042012.1" TargetMode="External"/><Relationship Id="rId25" Type="http://schemas.openxmlformats.org/officeDocument/2006/relationships/hyperlink" Target="https://www.ncbi.nlm.nih.gov/genome/browse/"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nytimes.com/2017/02/03/science/h-boyd-woodruff-dead-antibiotics-researcher.html" TargetMode="External"/><Relationship Id="rId20" Type="http://schemas.openxmlformats.org/officeDocument/2006/relationships/hyperlink" Target="https://www.ncbi.nlm.nih.gov/nuccore/MN444876.1" TargetMode="External"/><Relationship Id="rId29" Type="http://schemas.openxmlformats.org/officeDocument/2006/relationships/hyperlink" Target="https://www.ncbi.nlm.nih.gov/genome/brows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www.ncbi.nlm.nih.gov/nuccore/MK494112.1" TargetMode="External"/><Relationship Id="rId32" Type="http://schemas.openxmlformats.org/officeDocument/2006/relationships/hyperlink" Target="http://rhea.icbm.uni-oldenburg.de/VIRIDIC/"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s://www.ncbi.nlm.nih.gov/genome/browse/" TargetMode="External"/><Relationship Id="rId28" Type="http://schemas.openxmlformats.org/officeDocument/2006/relationships/hyperlink" Target="https://www.ncbi.nlm.nih.gov/nuccore/MN096371.1" TargetMode="External"/><Relationship Id="rId10" Type="http://schemas.openxmlformats.org/officeDocument/2006/relationships/hyperlink" Target="about:blank" TargetMode="External"/><Relationship Id="rId19" Type="http://schemas.openxmlformats.org/officeDocument/2006/relationships/hyperlink" Target="https://www.ncbi.nlm.nih.gov/genome/browse/" TargetMode="External"/><Relationship Id="rId31"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8.png"/><Relationship Id="rId22" Type="http://schemas.openxmlformats.org/officeDocument/2006/relationships/hyperlink" Target="https://www.ncbi.nlm.nih.gov/nuccore/MT310865.1" TargetMode="External"/><Relationship Id="rId27" Type="http://schemas.openxmlformats.org/officeDocument/2006/relationships/hyperlink" Target="https://www.ncbi.nlm.nih.gov/genome/browse/" TargetMode="External"/><Relationship Id="rId30" Type="http://schemas.openxmlformats.org/officeDocument/2006/relationships/image" Target="media/image6.png"/><Relationship Id="rId35" Type="http://schemas.openxmlformats.org/officeDocument/2006/relationships/theme" Target="theme/theme1.xml"/><Relationship Id="rId8" Type="http://schemas.openxmlformats.org/officeDocument/2006/relationships/hyperlink" Target="about:bla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RT2PdhF8F+k/zxQajTppsj1d0yg==">AMUW2mXykqruVZgJPdP6PcTcjbXrV/ORln1vIos4JATRqv/8JaCGz7RDWlBA1jvOdzc1mnm0CF3ykl6DOJRAKgm2ULuHr3U9nepiUVWJ1y+eYio4tgjDJWRVpmqQk0Os/nHrJOrfokpuhfp9/1JRi5rNQeWyj417sg==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1475</Words>
  <Characters>8413</Characters>
  <Application>Microsoft Office Word</Application>
  <DocSecurity>0</DocSecurity>
  <Lines>70</Lines>
  <Paragraphs>19</Paragraphs>
  <ScaleCrop>false</ScaleCrop>
  <Company/>
  <LinksUpToDate>false</LinksUpToDate>
  <CharactersWithSpaces>9869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2021-08-25T10:50:00Z</dcterms:created>
  <dcterms:modified xsi:type="dcterms:W3CDTF">2022-03-14T22:54:00Z</dcterms:modified>
</cp:coreProperties>
</file>