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6480C4" w14:textId="77777777" w:rsidR="001735B2" w:rsidRDefault="00C723D2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964817A" wp14:editId="2964817B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480C5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6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7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8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9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A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6480CB" w14:textId="77777777" w:rsidR="001735B2" w:rsidRDefault="00C723D2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296480CC" w14:textId="77777777" w:rsidR="001735B2" w:rsidRDefault="001735B2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1735B2" w14:paraId="296480D0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480CD" w14:textId="77777777" w:rsidR="001735B2" w:rsidRDefault="00C723D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6480CE" w14:textId="77777777" w:rsidR="001735B2" w:rsidRDefault="00C723D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2021.002B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480CF" w14:textId="77777777" w:rsidR="001735B2" w:rsidRDefault="001735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1735B2" w14:paraId="296480D3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296480D1" w14:textId="77777777" w:rsidR="001735B2" w:rsidRDefault="00C723D2">
            <w:pPr>
              <w:spacing w:before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</w:rPr>
              <w:t>Short title: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</w:p>
          <w:p w14:paraId="296480D2" w14:textId="77777777" w:rsidR="001735B2" w:rsidRDefault="00C723D2">
            <w:pPr>
              <w:spacing w:before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</w:rPr>
              <w:t>Create one new subfamily (</w:t>
            </w:r>
            <w:r>
              <w:rPr>
                <w:rFonts w:ascii="Arial" w:eastAsia="Arial" w:hAnsi="Arial" w:cs="Arial"/>
                <w:i/>
              </w:rPr>
              <w:t>Andrewesvirinae</w:t>
            </w:r>
            <w:r>
              <w:rPr>
                <w:rFonts w:ascii="Arial" w:eastAsia="Arial" w:hAnsi="Arial" w:cs="Arial"/>
              </w:rPr>
              <w:t>) including two new genera (</w:t>
            </w:r>
            <w:r>
              <w:rPr>
                <w:rFonts w:ascii="Arial" w:eastAsia="Arial" w:hAnsi="Arial" w:cs="Arial"/>
                <w:i/>
              </w:rPr>
              <w:t>Caudoviricetes</w:t>
            </w:r>
            <w:r>
              <w:rPr>
                <w:rFonts w:ascii="Arial" w:eastAsia="Arial" w:hAnsi="Arial" w:cs="Arial"/>
              </w:rPr>
              <w:t>)</w:t>
            </w:r>
          </w:p>
        </w:tc>
      </w:tr>
      <w:tr w:rsidR="001735B2" w14:paraId="296480D5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480D4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296480D6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8"/>
        <w:gridCol w:w="4704"/>
      </w:tblGrid>
      <w:tr w:rsidR="001735B2" w14:paraId="296480E4" w14:textId="77777777">
        <w:tc>
          <w:tcPr>
            <w:tcW w:w="4368" w:type="dxa"/>
            <w:shd w:val="clear" w:color="auto" w:fill="auto"/>
          </w:tcPr>
          <w:p w14:paraId="296480D7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Wittmann J, Adriaenssens EM, Turner D, Moraru C</w:t>
            </w:r>
          </w:p>
          <w:p w14:paraId="296480D8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9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A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B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C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D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E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DF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296480E0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Johannes.Wittmann@dsmz.de</w:t>
            </w:r>
          </w:p>
          <w:p w14:paraId="296480E1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Evelien.adriaenssens@quadram.ac.uk</w:t>
            </w:r>
          </w:p>
          <w:p w14:paraId="296480E2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Dann2.Turner@uwe.ac.uk</w:t>
            </w:r>
          </w:p>
          <w:p w14:paraId="296480E3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liliana.cristina.moraru@uol.de</w:t>
            </w:r>
          </w:p>
        </w:tc>
      </w:tr>
    </w:tbl>
    <w:p w14:paraId="296480E5" w14:textId="77777777" w:rsidR="001735B2" w:rsidRDefault="00C723D2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p w14:paraId="296480E6" w14:textId="77777777" w:rsidR="001735B2" w:rsidRDefault="001735B2">
      <w:pPr>
        <w:spacing w:before="120" w:after="120"/>
        <w:rPr>
          <w:rFonts w:ascii="Arial" w:eastAsia="Arial" w:hAnsi="Arial" w:cs="Arial"/>
          <w:b/>
        </w:rPr>
      </w:pP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0F1" w14:textId="77777777">
        <w:tc>
          <w:tcPr>
            <w:tcW w:w="9072" w:type="dxa"/>
            <w:shd w:val="clear" w:color="auto" w:fill="auto"/>
          </w:tcPr>
          <w:p w14:paraId="296480E7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E8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Leibniz Institute DSMZ – German Collection of Microorganisms and Cell Cultures GmbH, Braunschweig, Germany [JW]</w:t>
            </w:r>
          </w:p>
          <w:p w14:paraId="296480E9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Quadram Institute Bioscience, Norwich Research Park, Norwich, UK [EMA]</w:t>
            </w:r>
          </w:p>
          <w:p w14:paraId="296480EA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Department of Applied Sciences, University of the West of England, Bristol, UK [DM]</w:t>
            </w:r>
          </w:p>
          <w:p w14:paraId="296480EB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Carl von Ossietzky Universität Oldenburg, Germany [CM]</w:t>
            </w:r>
          </w:p>
          <w:p w14:paraId="296480EC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ED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EE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EF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F0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0F2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0F4" w14:textId="77777777">
        <w:tc>
          <w:tcPr>
            <w:tcW w:w="9072" w:type="dxa"/>
            <w:shd w:val="clear" w:color="auto" w:fill="auto"/>
          </w:tcPr>
          <w:p w14:paraId="296480F3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J Wittmann</w:t>
            </w:r>
          </w:p>
        </w:tc>
      </w:tr>
    </w:tbl>
    <w:p w14:paraId="296480F5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p w14:paraId="296480F6" w14:textId="77777777" w:rsidR="001735B2" w:rsidRDefault="001735B2"/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0FC" w14:textId="77777777">
        <w:tc>
          <w:tcPr>
            <w:tcW w:w="9072" w:type="dxa"/>
            <w:shd w:val="clear" w:color="auto" w:fill="auto"/>
          </w:tcPr>
          <w:p w14:paraId="296480F7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F8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F9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Caudoviricetes Study Group, Bacterial and Archaeal Viruses Subcommittee</w:t>
            </w:r>
          </w:p>
          <w:p w14:paraId="296480FA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0FB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0FD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p w14:paraId="296480FE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105" w14:textId="77777777">
        <w:tc>
          <w:tcPr>
            <w:tcW w:w="9072" w:type="dxa"/>
            <w:shd w:val="clear" w:color="auto" w:fill="auto"/>
          </w:tcPr>
          <w:p w14:paraId="296480FF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00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01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02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03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04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106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Authority to use the name of a living person</w:t>
      </w:r>
    </w:p>
    <w:p w14:paraId="29648107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1735B2" w14:paraId="2964810A" w14:textId="77777777">
        <w:tc>
          <w:tcPr>
            <w:tcW w:w="7939" w:type="dxa"/>
            <w:shd w:val="clear" w:color="auto" w:fill="auto"/>
          </w:tcPr>
          <w:p w14:paraId="29648108" w14:textId="77777777" w:rsidR="001735B2" w:rsidRDefault="00C723D2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29648109" w14:textId="77777777" w:rsidR="001735B2" w:rsidRDefault="00C723D2">
            <w:r>
              <w:t>N</w:t>
            </w:r>
          </w:p>
        </w:tc>
      </w:tr>
    </w:tbl>
    <w:p w14:paraId="2964810B" w14:textId="77777777" w:rsidR="001735B2" w:rsidRDefault="001735B2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1735B2" w14:paraId="2964810F" w14:textId="77777777">
        <w:tc>
          <w:tcPr>
            <w:tcW w:w="2692" w:type="dxa"/>
            <w:shd w:val="clear" w:color="auto" w:fill="auto"/>
          </w:tcPr>
          <w:p w14:paraId="2964810C" w14:textId="77777777" w:rsidR="001735B2" w:rsidRDefault="00C723D2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2964810D" w14:textId="77777777" w:rsidR="001735B2" w:rsidRDefault="00C723D2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2964810E" w14:textId="77777777" w:rsidR="001735B2" w:rsidRDefault="00C723D2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1735B2" w14:paraId="29648113" w14:textId="77777777">
        <w:tc>
          <w:tcPr>
            <w:tcW w:w="2692" w:type="dxa"/>
            <w:shd w:val="clear" w:color="auto" w:fill="auto"/>
          </w:tcPr>
          <w:p w14:paraId="29648110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9648111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9648112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1735B2" w14:paraId="29648117" w14:textId="77777777">
        <w:tc>
          <w:tcPr>
            <w:tcW w:w="2692" w:type="dxa"/>
            <w:shd w:val="clear" w:color="auto" w:fill="auto"/>
          </w:tcPr>
          <w:p w14:paraId="29648114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9648115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9648116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1735B2" w14:paraId="2964811B" w14:textId="77777777">
        <w:tc>
          <w:tcPr>
            <w:tcW w:w="2692" w:type="dxa"/>
            <w:shd w:val="clear" w:color="auto" w:fill="auto"/>
          </w:tcPr>
          <w:p w14:paraId="29648118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9648119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964811A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11C" w14:textId="77777777" w:rsidR="001735B2" w:rsidRDefault="001735B2"/>
    <w:p w14:paraId="2964811D" w14:textId="77777777" w:rsidR="001735B2" w:rsidRDefault="00C723D2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1735B2" w14:paraId="29648120" w14:textId="77777777">
        <w:tc>
          <w:tcPr>
            <w:tcW w:w="4820" w:type="dxa"/>
            <w:shd w:val="clear" w:color="auto" w:fill="auto"/>
          </w:tcPr>
          <w:p w14:paraId="2964811E" w14:textId="77777777" w:rsidR="001735B2" w:rsidRDefault="00C723D2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2964811F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1735B2" w14:paraId="29648123" w14:textId="77777777">
        <w:tc>
          <w:tcPr>
            <w:tcW w:w="4820" w:type="dxa"/>
            <w:shd w:val="clear" w:color="auto" w:fill="auto"/>
          </w:tcPr>
          <w:p w14:paraId="29648121" w14:textId="77777777" w:rsidR="001735B2" w:rsidRDefault="00C723D2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29648122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124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12E" w14:textId="77777777">
        <w:tc>
          <w:tcPr>
            <w:tcW w:w="9072" w:type="dxa"/>
            <w:shd w:val="clear" w:color="auto" w:fill="auto"/>
          </w:tcPr>
          <w:p w14:paraId="29648125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6" w14:textId="6FA3D118" w:rsidR="001735B2" w:rsidRDefault="00C723D2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Acceptance of proposal 2021.001B.abolish_Caudovirales by EC53 results in removal of the order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Caudovirales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families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Myoviridae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Podoviridae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Siphoviridae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. All underlying taxa are to be assigned directly to the class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Caudoviricetes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. The Excel module of this proposal has been altered to reflect the future changes</w:t>
            </w:r>
            <w:r w:rsidR="00475526">
              <w:rPr>
                <w:rFonts w:ascii="Arial" w:eastAsia="Arial" w:hAnsi="Arial" w:cs="Arial"/>
                <w:color w:val="FF0000"/>
                <w:sz w:val="22"/>
                <w:szCs w:val="22"/>
              </w:rPr>
              <w:t>;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however, the Word module has been unaltered while awaiting the ratification vote. </w:t>
            </w:r>
          </w:p>
          <w:p w14:paraId="29648127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8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9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A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B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C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2D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964812F" w14:textId="77777777" w:rsidR="001735B2" w:rsidRDefault="001735B2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29648130" w14:textId="77777777" w:rsidR="001735B2" w:rsidRDefault="001735B2"/>
    <w:p w14:paraId="29648131" w14:textId="77777777" w:rsidR="001735B2" w:rsidRDefault="00C723D2">
      <w:r>
        <w:br w:type="page"/>
      </w:r>
    </w:p>
    <w:p w14:paraId="29648132" w14:textId="77777777" w:rsidR="001735B2" w:rsidRDefault="00C723D2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lastRenderedPageBreak/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29648133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135" w14:textId="77777777">
        <w:tc>
          <w:tcPr>
            <w:tcW w:w="9072" w:type="dxa"/>
            <w:shd w:val="clear" w:color="auto" w:fill="auto"/>
          </w:tcPr>
          <w:p w14:paraId="29648134" w14:textId="488D4491" w:rsidR="001735B2" w:rsidRDefault="00C723D2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2021.002B.</w:t>
            </w:r>
            <w:r w:rsidR="004519BA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.Andrewesvirinae</w:t>
            </w:r>
          </w:p>
        </w:tc>
      </w:tr>
    </w:tbl>
    <w:p w14:paraId="29648136" w14:textId="77777777" w:rsidR="001735B2" w:rsidRDefault="00C723D2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p w14:paraId="29648137" w14:textId="77777777" w:rsidR="001735B2" w:rsidRDefault="001735B2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735B2" w14:paraId="2964813F" w14:textId="77777777">
        <w:tc>
          <w:tcPr>
            <w:tcW w:w="9072" w:type="dxa"/>
            <w:shd w:val="clear" w:color="auto" w:fill="auto"/>
          </w:tcPr>
          <w:p w14:paraId="29648138" w14:textId="77777777" w:rsidR="001735B2" w:rsidRDefault="001735B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9648139" w14:textId="77777777" w:rsidR="001735B2" w:rsidRDefault="00C723D2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Here, we propose the creation of a new subfamily “Andrewesvirinae” comprising two new genera, the new genus “Denvervirus” comprising one new species and the new genus “Vipetofemviru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s”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comprising three new species based on genome-based comparisons.</w:t>
            </w:r>
          </w:p>
          <w:p w14:paraId="2964813A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2964813B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2964813C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2964813D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2964813E" w14:textId="77777777" w:rsidR="001735B2" w:rsidRDefault="001735B2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29648140" w14:textId="77777777" w:rsidR="001735B2" w:rsidRDefault="00C723D2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1735B2" w14:paraId="29648150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29648141" w14:textId="77777777" w:rsidR="001735B2" w:rsidRDefault="001735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" w:eastAsia="Times" w:hAnsi="Times" w:cs="Times"/>
                <w:b/>
                <w:color w:val="00000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1735B2" w14:paraId="2964814E" w14:textId="77777777">
              <w:tc>
                <w:tcPr>
                  <w:tcW w:w="9002" w:type="dxa"/>
                  <w:shd w:val="clear" w:color="auto" w:fill="auto"/>
                </w:tcPr>
                <w:p w14:paraId="29648142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3" w14:textId="77777777" w:rsidR="001735B2" w:rsidRDefault="001735B2">
                  <w:pPr>
                    <w:rPr>
                      <w:rFonts w:ascii="Arial" w:eastAsia="Arial" w:hAnsi="Arial" w:cs="Arial"/>
                      <w:color w:val="FF0000"/>
                      <w:sz w:val="22"/>
                      <w:szCs w:val="22"/>
                    </w:rPr>
                  </w:pPr>
                </w:p>
                <w:p w14:paraId="29648144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5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6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7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8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9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A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B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C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964814D" w14:textId="77777777" w:rsidR="001735B2" w:rsidRDefault="001735B2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964814F" w14:textId="77777777" w:rsidR="001735B2" w:rsidRDefault="001735B2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29648151" w14:textId="77777777" w:rsidR="001735B2" w:rsidRDefault="00C723D2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Supporting evidence</w:t>
      </w:r>
    </w:p>
    <w:p w14:paraId="29648152" w14:textId="77777777" w:rsidR="001735B2" w:rsidRDefault="001735B2"/>
    <w:p w14:paraId="29648153" w14:textId="77777777" w:rsidR="001735B2" w:rsidRDefault="00C723D2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Andrewesvirinae: The name is derived from the author of the first description of the genus </w:t>
      </w:r>
      <w:r>
        <w:rPr>
          <w:rFonts w:ascii="Arial" w:eastAsia="Arial" w:hAnsi="Arial" w:cs="Arial"/>
          <w:i/>
          <w:sz w:val="22"/>
          <w:szCs w:val="22"/>
        </w:rPr>
        <w:t>Enterococcus</w:t>
      </w:r>
      <w:r>
        <w:rPr>
          <w:rFonts w:ascii="Arial" w:eastAsia="Arial" w:hAnsi="Arial" w:cs="Arial"/>
          <w:sz w:val="22"/>
          <w:szCs w:val="22"/>
        </w:rPr>
        <w:t xml:space="preserve"> [1].</w:t>
      </w:r>
    </w:p>
    <w:p w14:paraId="29648154" w14:textId="77777777" w:rsidR="001735B2" w:rsidRDefault="001735B2">
      <w:pPr>
        <w:rPr>
          <w:rFonts w:ascii="Arial" w:eastAsia="Arial" w:hAnsi="Arial" w:cs="Arial"/>
          <w:sz w:val="22"/>
          <w:szCs w:val="22"/>
        </w:rPr>
      </w:pPr>
    </w:p>
    <w:p w14:paraId="29648155" w14:textId="77777777" w:rsidR="001735B2" w:rsidRDefault="00C723D2">
      <w:pPr>
        <w:rPr>
          <w:rFonts w:ascii="Arial" w:eastAsia="Arial" w:hAnsi="Arial" w:cs="Arial"/>
          <w:color w:val="000000"/>
          <w:sz w:val="22"/>
          <w:szCs w:val="22"/>
        </w:rPr>
      </w:pPr>
      <w:r w:rsidRPr="00C723D2">
        <w:rPr>
          <w:rFonts w:ascii="Arial" w:eastAsia="Arial" w:hAnsi="Arial" w:cs="Arial"/>
          <w:i/>
          <w:iCs/>
          <w:sz w:val="22"/>
          <w:szCs w:val="22"/>
        </w:rPr>
        <w:t>Denvervirus</w:t>
      </w:r>
      <w:r>
        <w:rPr>
          <w:rFonts w:ascii="Arial" w:eastAsia="Arial" w:hAnsi="Arial" w:cs="Arial"/>
          <w:sz w:val="22"/>
          <w:szCs w:val="22"/>
        </w:rPr>
        <w:t xml:space="preserve">: The name is derived from the geographic origin of the first isolated phage of this type,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Enterococcus phage 9183 which was isolated from </w:t>
      </w:r>
      <w:r>
        <w:rPr>
          <w:rFonts w:ascii="Arial" w:eastAsia="Arial" w:hAnsi="Arial" w:cs="Arial"/>
          <w:sz w:val="22"/>
          <w:szCs w:val="22"/>
        </w:rPr>
        <w:t>wastewater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from Denver in 2018. Its genome consists of 86,301 bp with 109 CDS and 2 tRNA genes.</w:t>
      </w:r>
    </w:p>
    <w:p w14:paraId="29648156" w14:textId="77777777" w:rsidR="001735B2" w:rsidRDefault="001735B2">
      <w:pPr>
        <w:rPr>
          <w:rFonts w:ascii="Arial" w:eastAsia="Arial" w:hAnsi="Arial" w:cs="Arial"/>
          <w:color w:val="000000"/>
          <w:sz w:val="22"/>
          <w:szCs w:val="22"/>
        </w:rPr>
      </w:pPr>
    </w:p>
    <w:p w14:paraId="29648157" w14:textId="77777777" w:rsidR="001735B2" w:rsidRDefault="00C723D2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 w:rsidRPr="00C723D2">
        <w:rPr>
          <w:rFonts w:ascii="Arial" w:eastAsia="Arial" w:hAnsi="Arial" w:cs="Arial"/>
          <w:i/>
          <w:iCs/>
          <w:color w:val="000000"/>
          <w:sz w:val="22"/>
          <w:szCs w:val="22"/>
        </w:rPr>
        <w:t>Vipetofemvirus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: The name is derived from phage vipetofem which was isolated together with phage nattely from waste water from Denmark in 2017 [2]. The third member of this genus, phage vB_EfaS_140, was isolated from Gamoneu cheese in Spain. Their genome sizes range from 85,371 to 85,669 bp, analysis revealed 1 tRNA gene in each genome. </w:t>
      </w:r>
    </w:p>
    <w:p w14:paraId="29648158" w14:textId="77777777" w:rsidR="001735B2" w:rsidRDefault="001735B2">
      <w:pPr>
        <w:rPr>
          <w:rFonts w:ascii="Arial" w:eastAsia="Arial" w:hAnsi="Arial" w:cs="Arial"/>
          <w:color w:val="000000"/>
          <w:sz w:val="22"/>
          <w:szCs w:val="22"/>
        </w:rPr>
      </w:pPr>
    </w:p>
    <w:p w14:paraId="29648159" w14:textId="77777777" w:rsidR="001735B2" w:rsidRDefault="001735B2">
      <w:pPr>
        <w:rPr>
          <w:rFonts w:ascii="Arial" w:eastAsia="Arial" w:hAnsi="Arial" w:cs="Arial"/>
          <w:color w:val="000000"/>
          <w:sz w:val="22"/>
          <w:szCs w:val="22"/>
        </w:rPr>
      </w:pPr>
    </w:p>
    <w:p w14:paraId="2964815A" w14:textId="77777777" w:rsidR="001735B2" w:rsidRDefault="00C723D2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FF"/>
          <w:sz w:val="22"/>
          <w:szCs w:val="22"/>
        </w:rPr>
        <w:t xml:space="preserve">Electron micrograph: </w:t>
      </w:r>
      <w:r>
        <w:rPr>
          <w:rFonts w:ascii="Arial" w:eastAsia="Arial" w:hAnsi="Arial" w:cs="Arial"/>
          <w:sz w:val="22"/>
          <w:szCs w:val="22"/>
        </w:rPr>
        <w:t>None available</w:t>
      </w:r>
    </w:p>
    <w:p w14:paraId="2964815B" w14:textId="77777777" w:rsidR="001735B2" w:rsidRDefault="001735B2">
      <w:pPr>
        <w:rPr>
          <w:rFonts w:ascii="Arial" w:eastAsia="Arial" w:hAnsi="Arial" w:cs="Arial"/>
          <w:b/>
          <w:sz w:val="22"/>
          <w:szCs w:val="22"/>
        </w:rPr>
      </w:pPr>
    </w:p>
    <w:p w14:paraId="2964815C" w14:textId="77777777" w:rsidR="001735B2" w:rsidRDefault="00C723D2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FF"/>
          <w:sz w:val="22"/>
          <w:szCs w:val="22"/>
        </w:rPr>
        <w:t>Species demarcation criteria</w:t>
      </w:r>
      <w:r>
        <w:rPr>
          <w:rFonts w:ascii="Arial" w:eastAsia="Arial" w:hAnsi="Arial" w:cs="Arial"/>
          <w:sz w:val="22"/>
          <w:szCs w:val="22"/>
        </w:rPr>
        <w:t xml:space="preserve"> We have chosen 95% DNA sequence identity as the criterion for demarcation of species in this new genus. Each of the proposed species differs from the others with more than 5% at the DNA level as confirmed with VIRIDIC [3, 4].   </w:t>
      </w:r>
    </w:p>
    <w:p w14:paraId="2964815D" w14:textId="77777777" w:rsidR="001735B2" w:rsidRDefault="001735B2">
      <w:pPr>
        <w:rPr>
          <w:rFonts w:ascii="Arial" w:eastAsia="Arial" w:hAnsi="Arial" w:cs="Arial"/>
          <w:b/>
          <w:sz w:val="22"/>
          <w:szCs w:val="22"/>
        </w:rPr>
      </w:pPr>
    </w:p>
    <w:p w14:paraId="2964815E" w14:textId="77777777" w:rsidR="001735B2" w:rsidRDefault="00C723D2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FF"/>
          <w:sz w:val="22"/>
          <w:szCs w:val="22"/>
        </w:rPr>
        <w:lastRenderedPageBreak/>
        <w:t xml:space="preserve">VIRIDIC heat map: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VIRIDIC (Virus Intergenomic Distance Calculator; </w:t>
      </w:r>
      <w:hyperlink r:id="rId9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http://rhea.icbm.uni-oldenburg.de/VIRIDIC/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 xml:space="preserve">) computes pairwise intergenomic distances/similarities amongst phage genomes. </w:t>
      </w:r>
    </w:p>
    <w:p w14:paraId="2964815F" w14:textId="77777777" w:rsidR="001735B2" w:rsidRDefault="001735B2">
      <w:pPr>
        <w:rPr>
          <w:rFonts w:ascii="Arial" w:eastAsia="Arial" w:hAnsi="Arial" w:cs="Arial"/>
          <w:sz w:val="22"/>
          <w:szCs w:val="22"/>
        </w:rPr>
      </w:pPr>
    </w:p>
    <w:p w14:paraId="29648160" w14:textId="77777777" w:rsidR="001735B2" w:rsidRDefault="001735B2">
      <w:pPr>
        <w:rPr>
          <w:rFonts w:ascii="Arial" w:eastAsia="Arial" w:hAnsi="Arial" w:cs="Arial"/>
          <w:sz w:val="22"/>
          <w:szCs w:val="22"/>
        </w:rPr>
      </w:pPr>
    </w:p>
    <w:p w14:paraId="29648161" w14:textId="77777777" w:rsidR="001735B2" w:rsidRDefault="001735B2">
      <w:pPr>
        <w:rPr>
          <w:rFonts w:ascii="Arial" w:eastAsia="Arial" w:hAnsi="Arial" w:cs="Arial"/>
          <w:sz w:val="22"/>
          <w:szCs w:val="22"/>
        </w:rPr>
      </w:pPr>
    </w:p>
    <w:p w14:paraId="29648162" w14:textId="77777777" w:rsidR="001735B2" w:rsidRDefault="00C723D2">
      <w:pPr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2964817C" wp14:editId="2964817D">
            <wp:extent cx="5731510" cy="2321663"/>
            <wp:effectExtent l="0" t="0" r="0" b="0"/>
            <wp:docPr id="1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1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648163" w14:textId="77777777" w:rsidR="001735B2" w:rsidRDefault="001735B2">
      <w:pPr>
        <w:spacing w:before="120" w:after="120"/>
        <w:rPr>
          <w:rFonts w:ascii="Arial" w:eastAsia="Arial" w:hAnsi="Arial" w:cs="Arial"/>
          <w:b/>
        </w:rPr>
      </w:pPr>
    </w:p>
    <w:p w14:paraId="29648164" w14:textId="77777777" w:rsidR="001735B2" w:rsidRDefault="00C723D2">
      <w:pPr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FF"/>
          <w:sz w:val="20"/>
          <w:szCs w:val="20"/>
        </w:rPr>
        <w:t xml:space="preserve">Phylogeny: </w:t>
      </w:r>
      <w:r>
        <w:rPr>
          <w:rFonts w:ascii="Arial" w:eastAsia="Arial" w:hAnsi="Arial" w:cs="Arial"/>
          <w:color w:val="000000"/>
          <w:sz w:val="20"/>
          <w:szCs w:val="20"/>
        </w:rPr>
        <w:t>Phylogenetic analysis of several Enterococcus phage using VICTOR</w:t>
      </w:r>
    </w:p>
    <w:p w14:paraId="29648165" w14:textId="77777777" w:rsidR="001735B2" w:rsidRDefault="001735B2">
      <w:pPr>
        <w:jc w:val="both"/>
        <w:rPr>
          <w:rFonts w:ascii="Arial" w:eastAsia="Arial" w:hAnsi="Arial" w:cs="Arial"/>
          <w:sz w:val="18"/>
          <w:szCs w:val="18"/>
        </w:rPr>
      </w:pPr>
    </w:p>
    <w:p w14:paraId="29648166" w14:textId="77777777" w:rsidR="001735B2" w:rsidRDefault="00C723D2">
      <w:r>
        <w:rPr>
          <w:noProof/>
        </w:rPr>
        <w:lastRenderedPageBreak/>
        <w:drawing>
          <wp:inline distT="0" distB="0" distL="0" distR="0" wp14:anchorId="2964817E" wp14:editId="2964817F">
            <wp:extent cx="5603280" cy="7761951"/>
            <wp:effectExtent l="0" t="0" r="0" b="0"/>
            <wp:docPr id="1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03280" cy="77619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29648180" wp14:editId="29648181">
                <wp:simplePos x="0" y="0"/>
                <wp:positionH relativeFrom="column">
                  <wp:posOffset>1562100</wp:posOffset>
                </wp:positionH>
                <wp:positionV relativeFrom="paragraph">
                  <wp:posOffset>2489200</wp:posOffset>
                </wp:positionV>
                <wp:extent cx="3819525" cy="409575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50525" y="3589500"/>
                          <a:ext cx="3790950" cy="381000"/>
                        </a:xfrm>
                        <a:prstGeom prst="rect">
                          <a:avLst/>
                        </a:prstGeom>
                        <a:noFill/>
                        <a:ln w="28575" cap="flat" cmpd="sng">
                          <a:solidFill>
                            <a:srgbClr val="31538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648184" w14:textId="77777777" w:rsidR="001735B2" w:rsidRDefault="001735B2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1562100</wp:posOffset>
                </wp:positionH>
                <wp:positionV relativeFrom="paragraph">
                  <wp:posOffset>2489200</wp:posOffset>
                </wp:positionV>
                <wp:extent cx="3819525" cy="409575"/>
                <wp:effectExtent b="0" l="0" r="0" t="0"/>
                <wp:wrapNone/>
                <wp:docPr id="8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9525" cy="4095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9648167" w14:textId="77777777" w:rsidR="001735B2" w:rsidRDefault="00C723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All pairwise comparisons of the amino acid sequences were conducted using the Genome-BLAST Distance Phylogeny (GBDP) method [5] under settings recommended for prokaryotic viruses [6].</w:t>
      </w:r>
    </w:p>
    <w:p w14:paraId="29648168" w14:textId="77777777" w:rsidR="001735B2" w:rsidRDefault="00C723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The resulting intergenomic distances were used to infer a balanced minimum evolution tree with branch support via FASTME including SPR postprocessing [7]. Branch support was inferred from 100 pseudo-bootstrap replicates each. Trees were rooted at the midpoint [8] and visualized with FigTree [9].</w:t>
      </w:r>
    </w:p>
    <w:p w14:paraId="29648169" w14:textId="77777777" w:rsidR="001735B2" w:rsidRDefault="001735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sz w:val="20"/>
          <w:szCs w:val="20"/>
        </w:rPr>
      </w:pPr>
    </w:p>
    <w:p w14:paraId="2964816A" w14:textId="77777777" w:rsidR="001735B2" w:rsidRDefault="00C723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>Fig shows the phylogenomic GBDP tree inferred using the formula D6 and yielding average support of 31 %. The numbers above branches are GBDP pseudo-bootstrap support values from 100 replications. The branch lengths of the resulting VICTOR trees are scaled in terms of the respective distance formula used.</w:t>
      </w:r>
    </w:p>
    <w:p w14:paraId="2964816B" w14:textId="77777777" w:rsidR="001735B2" w:rsidRDefault="001735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</w:p>
    <w:p w14:paraId="2964816C" w14:textId="77777777" w:rsidR="001735B2" w:rsidRDefault="001735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</w:p>
    <w:p w14:paraId="2964816D" w14:textId="77777777" w:rsidR="001735B2" w:rsidRDefault="00C723D2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2964816E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Andrewes FW, Horder TJ. A study of the streptococci pathogenic for man. </w:t>
      </w:r>
      <w:r>
        <w:rPr>
          <w:rFonts w:ascii="Arial" w:eastAsia="Arial" w:hAnsi="Arial" w:cs="Arial"/>
          <w:i/>
          <w:color w:val="000000"/>
          <w:sz w:val="22"/>
          <w:szCs w:val="22"/>
        </w:rPr>
        <w:t>Lancet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1906; 2:708-713</w:t>
      </w:r>
    </w:p>
    <w:p w14:paraId="2964816F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C723D2">
        <w:rPr>
          <w:rFonts w:ascii="Arial" w:eastAsia="Arial" w:hAnsi="Arial" w:cs="Arial"/>
          <w:color w:val="000000"/>
          <w:sz w:val="22"/>
          <w:szCs w:val="22"/>
          <w:lang w:val="nl-NL"/>
        </w:rPr>
        <w:t xml:space="preserve">Olsen NS, Hendriksen NB, Hansen LH, Kot, W. </w:t>
      </w:r>
      <w:hyperlink r:id="rId13">
        <w:r>
          <w:rPr>
            <w:rFonts w:ascii="Arial" w:eastAsia="Arial" w:hAnsi="Arial" w:cs="Arial"/>
            <w:color w:val="000000"/>
            <w:sz w:val="22"/>
            <w:szCs w:val="22"/>
          </w:rPr>
          <w:t>A New High-Throughput Screening Method for Phages: Enabling Crude Isolation and Fast Identification of Diverse Phages with Therapeutic Potential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>. PHAGE. Sep 2020.137-148.</w:t>
      </w:r>
      <w:hyperlink r:id="rId14">
        <w:r>
          <w:rPr>
            <w:rFonts w:ascii="Arial" w:eastAsia="Arial" w:hAnsi="Arial" w:cs="Arial"/>
            <w:color w:val="000000"/>
            <w:sz w:val="22"/>
            <w:szCs w:val="22"/>
          </w:rPr>
          <w:t>http://doi.org/10.1089/phage.2020.0016</w:t>
        </w:r>
      </w:hyperlink>
    </w:p>
    <w:p w14:paraId="29648170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Moraru C.  VIRIDIC (Virus Intergenomic Distance Calculator) computes pairwise intergenomic distances/similarities amongst phage genomes. </w:t>
      </w:r>
      <w:hyperlink r:id="rId15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http://rhea.icbm.uni-oldenburg.de/VIRIDIC/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 xml:space="preserve">  </w:t>
      </w:r>
    </w:p>
    <w:p w14:paraId="29648171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Moraru C, Varsani A, Kropinski AM. VIRIDIC-A Novel Tool to Calculate the Intergenomic Similarities of Prokaryote-Infecting Viruses. Viruses. 2020 Nov 6;12(11):1268. doi: 10.3390/v12111268</w:t>
      </w:r>
    </w:p>
    <w:p w14:paraId="29648172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Meier-Kolthoff JP, Auch AF, Klenk H-P, Göker M: Genome sequence-based species delimitation with confidence intervals and improved distance functions. BMC Bioinformatics 2013, 14:60.</w:t>
      </w:r>
    </w:p>
    <w:p w14:paraId="29648173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Meier-Kolthoff JP, Göker M. VICTOR: Genome-based Phylogeny and Classification of Prokaryotic Viruses. Bioinformatics 2017, 33:3396-3404.</w:t>
      </w:r>
    </w:p>
    <w:p w14:paraId="29648174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Lefort V, Desper R, Gascuel O: FastME 2.0: A comprehensive, accurate, and fast distance-based phylogeny inference program. Mol Biol Evol 2015, 32:2798-2800.</w:t>
      </w:r>
    </w:p>
    <w:p w14:paraId="29648175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Farris JS: Estimating phylogenetic trees from distance matrices. Am Nat 1972, 106:645-667.</w:t>
      </w:r>
    </w:p>
    <w:p w14:paraId="29648176" w14:textId="77777777" w:rsidR="001735B2" w:rsidRDefault="00C723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Rambaut A. FigTree 1.4.3 - a graphical viewer of phylogenetic trees and a program for producing publication-ready figures. 2006. URL: </w:t>
      </w:r>
      <w:hyperlink r:id="rId16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http://tree.bio.ed.ac.uk/software/figtree/</w:t>
        </w:r>
      </w:hyperlink>
    </w:p>
    <w:p w14:paraId="29648177" w14:textId="77777777" w:rsidR="001735B2" w:rsidRDefault="001735B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9648178" w14:textId="77777777" w:rsidR="001735B2" w:rsidRDefault="001735B2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000000"/>
        </w:rPr>
      </w:pPr>
    </w:p>
    <w:p w14:paraId="29648179" w14:textId="77777777" w:rsidR="001735B2" w:rsidRDefault="001735B2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000000"/>
        </w:rPr>
      </w:pPr>
    </w:p>
    <w:sectPr w:rsidR="001735B2">
      <w:headerReference w:type="default" r:id="rId17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34434" w14:textId="77777777" w:rsidR="006216D4" w:rsidRDefault="006216D4">
      <w:r>
        <w:separator/>
      </w:r>
    </w:p>
  </w:endnote>
  <w:endnote w:type="continuationSeparator" w:id="0">
    <w:p w14:paraId="10125B90" w14:textId="77777777" w:rsidR="006216D4" w:rsidRDefault="006216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0"/>
    <w:family w:val="roman"/>
    <w:notTrueType/>
    <w:pitch w:val="default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6A029C" w14:textId="77777777" w:rsidR="006216D4" w:rsidRDefault="006216D4">
      <w:r>
        <w:separator/>
      </w:r>
    </w:p>
  </w:footnote>
  <w:footnote w:type="continuationSeparator" w:id="0">
    <w:p w14:paraId="43BB63E1" w14:textId="77777777" w:rsidR="006216D4" w:rsidRDefault="006216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648182" w14:textId="77777777" w:rsidR="001735B2" w:rsidRDefault="00C723D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29648183" w14:textId="77777777" w:rsidR="001735B2" w:rsidRDefault="001735B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AC6DCD"/>
    <w:multiLevelType w:val="multilevel"/>
    <w:tmpl w:val="320E95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35B2"/>
    <w:rsid w:val="001735B2"/>
    <w:rsid w:val="00255D47"/>
    <w:rsid w:val="004519BA"/>
    <w:rsid w:val="00475526"/>
    <w:rsid w:val="006216D4"/>
    <w:rsid w:val="00C71060"/>
    <w:rsid w:val="00C72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96480C4"/>
  <w15:docId w15:val="{6D05D5D7-DAF5-4B4B-B35E-5FC1E2BE0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link w:val="Heading1Char"/>
    <w:uiPriority w:val="9"/>
    <w:qFormat/>
    <w:rsid w:val="00273EA0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de-DE" w:eastAsia="de-DE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BD26B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BD26BA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C35235"/>
    <w:pPr>
      <w:ind w:left="720"/>
      <w:contextualSpacing/>
    </w:pPr>
  </w:style>
  <w:style w:type="character" w:customStyle="1" w:styleId="docsum-authors">
    <w:name w:val="docsum-authors"/>
    <w:basedOn w:val="DefaultParagraphFont"/>
    <w:rsid w:val="00064B0D"/>
  </w:style>
  <w:style w:type="character" w:customStyle="1" w:styleId="docsum-journal-citation">
    <w:name w:val="docsum-journal-citation"/>
    <w:basedOn w:val="DefaultParagraphFont"/>
    <w:rsid w:val="00064B0D"/>
  </w:style>
  <w:style w:type="character" w:customStyle="1" w:styleId="author">
    <w:name w:val="author"/>
    <w:basedOn w:val="DefaultParagraphFont"/>
    <w:rsid w:val="00273EA0"/>
  </w:style>
  <w:style w:type="character" w:customStyle="1" w:styleId="journal-title">
    <w:name w:val="journal-title"/>
    <w:basedOn w:val="DefaultParagraphFont"/>
    <w:rsid w:val="00273EA0"/>
  </w:style>
  <w:style w:type="character" w:customStyle="1" w:styleId="cover-date">
    <w:name w:val="cover-date"/>
    <w:basedOn w:val="DefaultParagraphFont"/>
    <w:rsid w:val="00273EA0"/>
  </w:style>
  <w:style w:type="character" w:customStyle="1" w:styleId="page-range">
    <w:name w:val="page-range"/>
    <w:basedOn w:val="DefaultParagraphFont"/>
    <w:rsid w:val="00273EA0"/>
  </w:style>
  <w:style w:type="character" w:customStyle="1" w:styleId="Heading1Char">
    <w:name w:val="Heading 1 Char"/>
    <w:basedOn w:val="DefaultParagraphFont"/>
    <w:link w:val="Heading1"/>
    <w:uiPriority w:val="9"/>
    <w:rsid w:val="00273EA0"/>
    <w:rPr>
      <w:rFonts w:ascii="Times New Roman" w:eastAsia="Times New Roman" w:hAnsi="Times New Roman" w:cs="Times New Roman"/>
      <w:b/>
      <w:bCs/>
      <w:kern w:val="36"/>
      <w:sz w:val="48"/>
      <w:szCs w:val="48"/>
      <w:lang w:val="de-DE" w:eastAsia="de-D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973A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de-DE" w:eastAsia="de-D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973A2"/>
    <w:rPr>
      <w:rFonts w:ascii="Courier New" w:eastAsia="Times New Roman" w:hAnsi="Courier New" w:cs="Courier New"/>
      <w:sz w:val="20"/>
      <w:szCs w:val="20"/>
      <w:lang w:val="de-DE" w:eastAsia="de-DE"/>
    </w:rPr>
  </w:style>
  <w:style w:type="character" w:customStyle="1" w:styleId="feature">
    <w:name w:val="feature"/>
    <w:basedOn w:val="DefaultParagraphFont"/>
    <w:rsid w:val="006973A2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liebertpub.com/doi/full/10.1089/phage.2020.0016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0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tree.bio.ed.ac.uk/software/figtre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rhea.icbm.uni-oldenburg.de/VIRIDIC/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hea.icbm.uni-oldenburg.de/VIRIDIC/" TargetMode="External"/><Relationship Id="rId14" Type="http://schemas.openxmlformats.org/officeDocument/2006/relationships/hyperlink" Target="https://doi.org/10.1089/phage.2020.0016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27vugdOzUUrTpIj/0GMabgiHXiw==">AMUW2mW5n9Ihn6o+VybF8HoNjl1bgJzAC7GkecLW4OhpWadca38ppxPWp376Ao1FAUK/9jJOxl3r28oVWV0v0HnCOwA5txUBcTEraBxyF6+6Jwc/fFY4f8I=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899</Words>
  <Characters>5127</Characters>
  <Application>Microsoft Office Word</Application>
  <DocSecurity>0</DocSecurity>
  <Lines>42</Lines>
  <Paragraphs>12</Paragraphs>
  <ScaleCrop>false</ScaleCrop>
  <Company/>
  <LinksUpToDate>false</LinksUpToDate>
  <CharactersWithSpaces>6014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4</cp:revision>
  <dcterms:created xsi:type="dcterms:W3CDTF">2021-08-23T14:52:00Z</dcterms:created>
  <dcterms:modified xsi:type="dcterms:W3CDTF">2022-03-14T22:07:00Z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