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1BB36" w14:textId="77777777" w:rsidR="00C67A98" w:rsidRPr="00DA5352" w:rsidRDefault="00717E5C"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2B12BADF" wp14:editId="0897D176">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7327CB7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8B5DE63" w14:textId="77777777" w:rsidR="00C67A98" w:rsidRPr="00DA5352" w:rsidRDefault="00C67A98" w:rsidP="00F41198">
      <w:pPr>
        <w:ind w:left="2007"/>
        <w:rPr>
          <w:color w:val="0000FF"/>
        </w:rPr>
      </w:pPr>
    </w:p>
    <w:p w14:paraId="54215880"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1E4D0CDB" w14:textId="77777777" w:rsidR="00AA1E2F" w:rsidRPr="00DA5352" w:rsidRDefault="00AA1E2F" w:rsidP="008E736E">
      <w:pPr>
        <w:pStyle w:val="BodyTextIndent"/>
        <w:ind w:left="0" w:firstLine="0"/>
        <w:rPr>
          <w:rFonts w:ascii="Arial" w:hAnsi="Arial" w:cs="Arial"/>
          <w:color w:val="0000FF"/>
          <w:sz w:val="22"/>
          <w:szCs w:val="22"/>
        </w:rPr>
      </w:pPr>
    </w:p>
    <w:p w14:paraId="0CF2E5AF" w14:textId="77777777" w:rsidR="006D1B4E" w:rsidRDefault="006D1B4E" w:rsidP="006D1B4E">
      <w:pPr>
        <w:rPr>
          <w:rFonts w:ascii="Arial" w:hAnsi="Arial" w:cs="Arial"/>
          <w:sz w:val="22"/>
          <w:szCs w:val="22"/>
          <w:lang w:val="en-GB"/>
        </w:rPr>
      </w:pPr>
    </w:p>
    <w:p w14:paraId="5D621FEC"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186F872A"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2B15DBB4" w14:textId="77777777" w:rsidTr="00C15EC4">
        <w:tc>
          <w:tcPr>
            <w:tcW w:w="3064" w:type="dxa"/>
            <w:tcBorders>
              <w:top w:val="double" w:sz="4" w:space="0" w:color="auto"/>
              <w:left w:val="double" w:sz="4" w:space="0" w:color="auto"/>
              <w:right w:val="single" w:sz="4" w:space="0" w:color="auto"/>
            </w:tcBorders>
            <w:vAlign w:val="center"/>
          </w:tcPr>
          <w:p w14:paraId="09A1155A"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3BCCEED" w14:textId="2B09F238" w:rsidR="006D1B4E" w:rsidRPr="00C61931" w:rsidRDefault="00874188" w:rsidP="00874188">
            <w:pPr>
              <w:pStyle w:val="BodyTextIndent"/>
              <w:ind w:left="0" w:firstLine="0"/>
              <w:rPr>
                <w:rFonts w:ascii="Times New Roman" w:hAnsi="Times New Roman"/>
                <w:b/>
                <w:i/>
                <w:sz w:val="36"/>
                <w:szCs w:val="36"/>
              </w:rPr>
            </w:pPr>
            <w:r w:rsidRPr="00874188">
              <w:rPr>
                <w:rFonts w:ascii="Times New Roman" w:hAnsi="Times New Roman"/>
                <w:b/>
                <w:i/>
                <w:sz w:val="36"/>
                <w:szCs w:val="36"/>
              </w:rPr>
              <w:t>2017.020P</w:t>
            </w:r>
          </w:p>
        </w:tc>
        <w:tc>
          <w:tcPr>
            <w:tcW w:w="3091" w:type="dxa"/>
            <w:tcBorders>
              <w:top w:val="double" w:sz="4" w:space="0" w:color="auto"/>
              <w:left w:val="single" w:sz="4" w:space="0" w:color="auto"/>
              <w:right w:val="double" w:sz="4" w:space="0" w:color="auto"/>
            </w:tcBorders>
            <w:vAlign w:val="center"/>
          </w:tcPr>
          <w:p w14:paraId="7D5B1A88"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3A4D6A6C" w14:textId="77777777">
        <w:tc>
          <w:tcPr>
            <w:tcW w:w="9468" w:type="dxa"/>
            <w:gridSpan w:val="6"/>
            <w:tcBorders>
              <w:left w:val="double" w:sz="4" w:space="0" w:color="auto"/>
              <w:right w:val="double" w:sz="4" w:space="0" w:color="auto"/>
            </w:tcBorders>
          </w:tcPr>
          <w:p w14:paraId="009A4B75" w14:textId="7C85FE0E" w:rsidR="00AA3952" w:rsidRPr="001E492D" w:rsidRDefault="006D1B4E" w:rsidP="00F74D87">
            <w:pPr>
              <w:spacing w:before="120"/>
              <w:rPr>
                <w:b/>
              </w:rPr>
            </w:pPr>
            <w:r>
              <w:rPr>
                <w:b/>
              </w:rPr>
              <w:t>Short title:</w:t>
            </w:r>
            <w:r w:rsidR="00AA3952">
              <w:rPr>
                <w:b/>
              </w:rPr>
              <w:t xml:space="preserve"> </w:t>
            </w:r>
            <w:r w:rsidR="004A3319" w:rsidRPr="00781A11">
              <w:rPr>
                <w:rFonts w:eastAsia="Times"/>
                <w:color w:val="000000"/>
                <w:szCs w:val="20"/>
                <w:lang w:val="sv-SE" w:eastAsia="en-GB"/>
              </w:rPr>
              <w:t xml:space="preserve">3 new species in a proposed new </w:t>
            </w:r>
            <w:r w:rsidR="0098254F">
              <w:rPr>
                <w:rFonts w:eastAsia="Times"/>
                <w:color w:val="000000"/>
                <w:szCs w:val="20"/>
                <w:lang w:val="sv-SE" w:eastAsia="en-GB"/>
              </w:rPr>
              <w:t xml:space="preserve">genus </w:t>
            </w:r>
            <w:r w:rsidR="0098254F" w:rsidRPr="0098254F">
              <w:rPr>
                <w:rFonts w:eastAsia="Times"/>
                <w:i/>
                <w:color w:val="000000"/>
                <w:szCs w:val="20"/>
                <w:lang w:val="sv-SE" w:eastAsia="en-GB"/>
              </w:rPr>
              <w:t>Deltaflexivirus</w:t>
            </w:r>
            <w:r w:rsidR="0098254F">
              <w:rPr>
                <w:rFonts w:eastAsia="Times"/>
                <w:color w:val="000000"/>
                <w:szCs w:val="20"/>
                <w:lang w:val="sv-SE" w:eastAsia="en-GB"/>
              </w:rPr>
              <w:t xml:space="preserve"> and new </w:t>
            </w:r>
            <w:r w:rsidR="004A3319" w:rsidRPr="00781A11">
              <w:rPr>
                <w:rFonts w:eastAsia="Times"/>
                <w:color w:val="000000"/>
                <w:szCs w:val="20"/>
                <w:lang w:val="sv-SE" w:eastAsia="en-GB"/>
              </w:rPr>
              <w:t xml:space="preserve">family </w:t>
            </w:r>
            <w:r w:rsidR="004A3319" w:rsidRPr="00781A11">
              <w:rPr>
                <w:rFonts w:eastAsia="Times"/>
                <w:i/>
                <w:color w:val="000000"/>
                <w:szCs w:val="20"/>
                <w:lang w:val="sv-SE" w:eastAsia="en-GB"/>
              </w:rPr>
              <w:t>Deltaflexiviridae</w:t>
            </w:r>
            <w:r w:rsidR="004A3319" w:rsidRPr="00781A11">
              <w:rPr>
                <w:rFonts w:eastAsia="Times"/>
                <w:color w:val="000000"/>
                <w:szCs w:val="20"/>
                <w:lang w:val="sv-SE" w:eastAsia="en-GB"/>
              </w:rPr>
              <w:t xml:space="preserve"> in the order </w:t>
            </w:r>
            <w:r w:rsidR="004A3319" w:rsidRPr="00781A11">
              <w:rPr>
                <w:rFonts w:eastAsia="Times"/>
                <w:i/>
                <w:color w:val="000000"/>
                <w:szCs w:val="20"/>
                <w:lang w:val="sv-SE" w:eastAsia="en-GB"/>
              </w:rPr>
              <w:t>Tymovirales</w:t>
            </w:r>
          </w:p>
        </w:tc>
      </w:tr>
      <w:tr w:rsidR="00210B49" w:rsidRPr="001E492D" w14:paraId="6EEDD03A" w14:textId="77777777" w:rsidTr="00C15EC4">
        <w:tc>
          <w:tcPr>
            <w:tcW w:w="4458" w:type="dxa"/>
            <w:gridSpan w:val="2"/>
            <w:tcBorders>
              <w:left w:val="double" w:sz="4" w:space="0" w:color="auto"/>
              <w:bottom w:val="double" w:sz="4" w:space="0" w:color="auto"/>
              <w:right w:val="single" w:sz="4" w:space="0" w:color="auto"/>
            </w:tcBorders>
            <w:vAlign w:val="center"/>
          </w:tcPr>
          <w:p w14:paraId="46F87D70" w14:textId="77777777" w:rsidR="00210B49" w:rsidRDefault="00210B49" w:rsidP="009845DD">
            <w:pPr>
              <w:rPr>
                <w:b/>
              </w:rPr>
            </w:pPr>
            <w:r>
              <w:rPr>
                <w:b/>
              </w:rPr>
              <w:t xml:space="preserve">Modules attached </w:t>
            </w:r>
          </w:p>
          <w:p w14:paraId="45F10C93"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4B7C49E7"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7A2C0F56"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8F21F3">
              <w:rPr>
                <w:b/>
              </w:rPr>
              <w:fldChar w:fldCharType="begin">
                <w:ffData>
                  <w:name w:val=""/>
                  <w:enabled/>
                  <w:calcOnExit w:val="0"/>
                  <w:checkBox>
                    <w:sizeAuto/>
                    <w:default w:val="1"/>
                  </w:checkBox>
                </w:ffData>
              </w:fldChar>
            </w:r>
            <w:r w:rsidR="008F21F3">
              <w:rPr>
                <w:b/>
              </w:rPr>
              <w:instrText xml:space="preserve"> FORMCHECKBOX </w:instrText>
            </w:r>
            <w:r w:rsidR="001E0E69">
              <w:rPr>
                <w:b/>
              </w:rPr>
            </w:r>
            <w:r w:rsidR="001E0E69">
              <w:rPr>
                <w:b/>
              </w:rPr>
              <w:fldChar w:fldCharType="separate"/>
            </w:r>
            <w:r w:rsidR="008F21F3">
              <w:rPr>
                <w:b/>
              </w:rPr>
              <w:fldChar w:fldCharType="end"/>
            </w:r>
            <w:r w:rsidR="00C67A98">
              <w:rPr>
                <w:b/>
              </w:rPr>
              <w:t xml:space="preserve">       </w:t>
            </w:r>
            <w:bookmarkEnd w:id="0"/>
            <w:r w:rsidR="00C67A98">
              <w:rPr>
                <w:b/>
              </w:rPr>
              <w:t xml:space="preserve"> </w:t>
            </w:r>
            <w:r w:rsidR="004B5D02">
              <w:rPr>
                <w:b/>
              </w:rPr>
              <w:t>2</w:t>
            </w:r>
            <w:r>
              <w:rPr>
                <w:b/>
              </w:rPr>
              <w:t xml:space="preserve"> </w:t>
            </w:r>
            <w:r w:rsidR="008F21F3">
              <w:rPr>
                <w:b/>
              </w:rPr>
              <w:fldChar w:fldCharType="begin">
                <w:ffData>
                  <w:name w:val=""/>
                  <w:enabled/>
                  <w:calcOnExit w:val="0"/>
                  <w:checkBox>
                    <w:sizeAuto/>
                    <w:default w:val="1"/>
                  </w:checkBox>
                </w:ffData>
              </w:fldChar>
            </w:r>
            <w:r w:rsidR="008F21F3">
              <w:rPr>
                <w:b/>
              </w:rPr>
              <w:instrText xml:space="preserve"> FORMCHECKBOX </w:instrText>
            </w:r>
            <w:r w:rsidR="001E0E69">
              <w:rPr>
                <w:b/>
              </w:rPr>
            </w:r>
            <w:r w:rsidR="001E0E69">
              <w:rPr>
                <w:b/>
              </w:rPr>
              <w:fldChar w:fldCharType="separate"/>
            </w:r>
            <w:r w:rsidR="008F21F3">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1E0E69">
              <w:rPr>
                <w:b/>
              </w:rPr>
            </w:r>
            <w:r w:rsidR="001E0E69">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8F21F3">
              <w:rPr>
                <w:b/>
              </w:rPr>
              <w:fldChar w:fldCharType="begin">
                <w:ffData>
                  <w:name w:val=""/>
                  <w:enabled/>
                  <w:calcOnExit w:val="0"/>
                  <w:checkBox>
                    <w:sizeAuto/>
                    <w:default w:val="1"/>
                  </w:checkBox>
                </w:ffData>
              </w:fldChar>
            </w:r>
            <w:r w:rsidR="008F21F3">
              <w:rPr>
                <w:b/>
              </w:rPr>
              <w:instrText xml:space="preserve"> FORMCHECKBOX </w:instrText>
            </w:r>
            <w:r w:rsidR="001E0E69">
              <w:rPr>
                <w:b/>
              </w:rPr>
            </w:r>
            <w:r w:rsidR="001E0E69">
              <w:rPr>
                <w:b/>
              </w:rPr>
              <w:fldChar w:fldCharType="separate"/>
            </w:r>
            <w:r w:rsidR="008F21F3">
              <w:rPr>
                <w:b/>
              </w:rPr>
              <w:fldChar w:fldCharType="end"/>
            </w:r>
            <w:r>
              <w:rPr>
                <w:b/>
              </w:rPr>
              <w:t xml:space="preserve">       </w:t>
            </w:r>
          </w:p>
          <w:p w14:paraId="07555014" w14:textId="77777777" w:rsidR="00210B49" w:rsidRDefault="00210B49" w:rsidP="004B5D02">
            <w:pPr>
              <w:rPr>
                <w:b/>
              </w:rPr>
            </w:pPr>
            <w:r>
              <w:rPr>
                <w:b/>
              </w:rPr>
              <w:t xml:space="preserve">  </w:t>
            </w:r>
          </w:p>
        </w:tc>
      </w:tr>
      <w:tr w:rsidR="00636B14" w:rsidRPr="001E492D" w14:paraId="028D2E87" w14:textId="77777777">
        <w:tc>
          <w:tcPr>
            <w:tcW w:w="9468" w:type="dxa"/>
            <w:gridSpan w:val="6"/>
          </w:tcPr>
          <w:p w14:paraId="345A2D6B" w14:textId="77777777" w:rsidR="00636B14" w:rsidRPr="001E492D" w:rsidRDefault="00636B14" w:rsidP="00CE5ECF">
            <w:pPr>
              <w:spacing w:before="120" w:after="120"/>
              <w:rPr>
                <w:b/>
              </w:rPr>
            </w:pPr>
            <w:r>
              <w:rPr>
                <w:b/>
              </w:rPr>
              <w:t>Author</w:t>
            </w:r>
            <w:r w:rsidRPr="001E492D">
              <w:rPr>
                <w:b/>
              </w:rPr>
              <w:t>(s):</w:t>
            </w:r>
          </w:p>
        </w:tc>
      </w:tr>
      <w:tr w:rsidR="00636B14" w:rsidRPr="001E492D" w14:paraId="02A1356E" w14:textId="77777777">
        <w:tc>
          <w:tcPr>
            <w:tcW w:w="9468" w:type="dxa"/>
            <w:gridSpan w:val="6"/>
            <w:tcBorders>
              <w:top w:val="single" w:sz="4" w:space="0" w:color="auto"/>
              <w:left w:val="single" w:sz="4" w:space="0" w:color="auto"/>
              <w:bottom w:val="single" w:sz="4" w:space="0" w:color="auto"/>
              <w:right w:val="single" w:sz="4" w:space="0" w:color="auto"/>
            </w:tcBorders>
          </w:tcPr>
          <w:p w14:paraId="7D3E9D8C" w14:textId="77777777" w:rsidR="00EC28C8" w:rsidRPr="00216994" w:rsidRDefault="00EC28C8" w:rsidP="00EC28C8">
            <w:pPr>
              <w:pStyle w:val="BodyTextIndent"/>
              <w:tabs>
                <w:tab w:val="left" w:pos="3348"/>
              </w:tabs>
              <w:ind w:left="113" w:hanging="113"/>
              <w:rPr>
                <w:rFonts w:ascii="Times New Roman" w:hAnsi="Times New Roman"/>
                <w:color w:val="000000"/>
                <w:lang w:val="nl-NL"/>
              </w:rPr>
            </w:pPr>
            <w:r w:rsidRPr="00216994">
              <w:rPr>
                <w:rFonts w:ascii="Times New Roman" w:hAnsi="Times New Roman"/>
                <w:color w:val="000000"/>
                <w:lang w:val="nl-NL"/>
              </w:rPr>
              <w:t>Jan Kreuze (chair)</w:t>
            </w:r>
            <w:r w:rsidRPr="00216994">
              <w:rPr>
                <w:rFonts w:ascii="Times New Roman" w:hAnsi="Times New Roman"/>
                <w:color w:val="000000"/>
                <w:lang w:val="nl-NL"/>
              </w:rPr>
              <w:tab/>
            </w:r>
            <w:hyperlink r:id="rId8" w:history="1">
              <w:r w:rsidRPr="00216994">
                <w:rPr>
                  <w:rStyle w:val="Hyperlink"/>
                  <w:rFonts w:ascii="Times New Roman" w:hAnsi="Times New Roman"/>
                  <w:lang w:val="nl-NL"/>
                </w:rPr>
                <w:t>j.kreuze@cgiar.org</w:t>
              </w:r>
            </w:hyperlink>
          </w:p>
          <w:p w14:paraId="662F0004" w14:textId="77777777" w:rsidR="00EC28C8" w:rsidRPr="00216994" w:rsidRDefault="00EC28C8" w:rsidP="00EC28C8">
            <w:pPr>
              <w:pStyle w:val="BodyTextIndent"/>
              <w:tabs>
                <w:tab w:val="left" w:pos="3348"/>
              </w:tabs>
              <w:ind w:left="113" w:hanging="113"/>
              <w:rPr>
                <w:rFonts w:ascii="Times New Roman" w:hAnsi="Times New Roman"/>
                <w:color w:val="000000"/>
              </w:rPr>
            </w:pPr>
            <w:r w:rsidRPr="00335A11">
              <w:rPr>
                <w:rFonts w:ascii="Times New Roman" w:hAnsi="Times New Roman"/>
                <w:color w:val="000000"/>
              </w:rPr>
              <w:t>Adams, Michael J.</w:t>
            </w:r>
            <w:r w:rsidRPr="00335A11">
              <w:rPr>
                <w:rFonts w:ascii="Times New Roman" w:hAnsi="Times New Roman"/>
                <w:color w:val="000000"/>
              </w:rPr>
              <w:tab/>
            </w:r>
            <w:hyperlink r:id="rId9" w:history="1">
              <w:r w:rsidRPr="00216994">
                <w:rPr>
                  <w:rStyle w:val="Hyperlink"/>
                  <w:rFonts w:ascii="Times New Roman" w:hAnsi="Times New Roman"/>
                </w:rPr>
                <w:t>mike.adams.ictv@gmail.com</w:t>
              </w:r>
            </w:hyperlink>
          </w:p>
          <w:p w14:paraId="34208979" w14:textId="77777777" w:rsidR="00EC28C8" w:rsidRPr="00335A11" w:rsidRDefault="00EC28C8" w:rsidP="00EC28C8">
            <w:pPr>
              <w:pStyle w:val="BodyTextIndent"/>
              <w:tabs>
                <w:tab w:val="left" w:pos="3348"/>
              </w:tabs>
              <w:ind w:left="113" w:hanging="113"/>
              <w:rPr>
                <w:rFonts w:ascii="Times New Roman" w:hAnsi="Times New Roman"/>
                <w:color w:val="000000"/>
                <w:lang w:val="sv-SE"/>
              </w:rPr>
            </w:pPr>
            <w:r w:rsidRPr="00216994">
              <w:rPr>
                <w:rFonts w:ascii="Times New Roman" w:hAnsi="Times New Roman"/>
                <w:color w:val="000000"/>
                <w:lang w:val="sv-SE"/>
              </w:rPr>
              <w:t>Candresse, Thierry</w:t>
            </w:r>
            <w:r w:rsidRPr="00216994">
              <w:rPr>
                <w:rFonts w:ascii="Times New Roman" w:hAnsi="Times New Roman"/>
                <w:color w:val="000000"/>
                <w:lang w:val="sv-SE"/>
              </w:rPr>
              <w:tab/>
            </w:r>
            <w:hyperlink r:id="rId10" w:history="1">
              <w:r w:rsidRPr="00335A11">
                <w:rPr>
                  <w:rStyle w:val="Hyperlink"/>
                  <w:rFonts w:ascii="Times New Roman" w:hAnsi="Times New Roman"/>
                  <w:lang w:val="sv-SE"/>
                </w:rPr>
                <w:t>tc@bordeaux.inra.fr</w:t>
              </w:r>
            </w:hyperlink>
          </w:p>
          <w:p w14:paraId="5F46AFA3" w14:textId="77777777" w:rsidR="00EC28C8" w:rsidRPr="00216994" w:rsidRDefault="00EC28C8" w:rsidP="00EC28C8">
            <w:pPr>
              <w:pStyle w:val="BodyTextIndent"/>
              <w:tabs>
                <w:tab w:val="left" w:pos="3348"/>
              </w:tabs>
              <w:ind w:left="113" w:hanging="113"/>
              <w:rPr>
                <w:rFonts w:ascii="Times New Roman" w:hAnsi="Times New Roman"/>
                <w:color w:val="000000"/>
              </w:rPr>
            </w:pPr>
            <w:r w:rsidRPr="00335A11">
              <w:rPr>
                <w:rFonts w:ascii="Times New Roman" w:hAnsi="Times New Roman"/>
                <w:color w:val="000000"/>
              </w:rPr>
              <w:t>Hammond, John</w:t>
            </w:r>
            <w:r w:rsidRPr="00335A11">
              <w:rPr>
                <w:rFonts w:ascii="Times New Roman" w:hAnsi="Times New Roman"/>
                <w:color w:val="000000"/>
              </w:rPr>
              <w:tab/>
            </w:r>
            <w:hyperlink r:id="rId11" w:history="1">
              <w:r w:rsidRPr="00216994">
                <w:rPr>
                  <w:rStyle w:val="Hyperlink"/>
                  <w:rFonts w:ascii="Times New Roman" w:hAnsi="Times New Roman"/>
                </w:rPr>
                <w:t>John.Hammond@ARS.USDA.GOV</w:t>
              </w:r>
            </w:hyperlink>
          </w:p>
          <w:p w14:paraId="35CCE166" w14:textId="77777777" w:rsidR="00EC28C8" w:rsidRPr="00216994" w:rsidRDefault="00EC28C8" w:rsidP="00EC28C8">
            <w:pPr>
              <w:pStyle w:val="BodyTextIndent"/>
              <w:tabs>
                <w:tab w:val="left" w:pos="3348"/>
              </w:tabs>
              <w:ind w:left="113" w:hanging="113"/>
              <w:rPr>
                <w:rFonts w:ascii="Times New Roman" w:hAnsi="Times New Roman"/>
                <w:color w:val="000000"/>
                <w:lang w:val="nl-NL"/>
              </w:rPr>
            </w:pPr>
            <w:r w:rsidRPr="00216994">
              <w:rPr>
                <w:rFonts w:ascii="Times New Roman" w:hAnsi="Times New Roman"/>
                <w:color w:val="000000"/>
                <w:lang w:val="nl-NL"/>
              </w:rPr>
              <w:t>Menzel, Wulf</w:t>
            </w:r>
            <w:r w:rsidRPr="00216994">
              <w:rPr>
                <w:rFonts w:ascii="Times New Roman" w:hAnsi="Times New Roman"/>
                <w:color w:val="000000"/>
                <w:lang w:val="nl-NL"/>
              </w:rPr>
              <w:tab/>
            </w:r>
            <w:hyperlink r:id="rId12" w:history="1">
              <w:r w:rsidRPr="00216994">
                <w:rPr>
                  <w:rStyle w:val="Hyperlink"/>
                  <w:rFonts w:ascii="Times New Roman" w:hAnsi="Times New Roman"/>
                  <w:lang w:val="nl-NL"/>
                </w:rPr>
                <w:t>Wulf.Menzel@dsmz.de</w:t>
              </w:r>
            </w:hyperlink>
          </w:p>
          <w:p w14:paraId="0FEFD016" w14:textId="77777777" w:rsidR="00EC28C8" w:rsidRPr="00216994" w:rsidRDefault="00EC28C8" w:rsidP="00EC28C8">
            <w:pPr>
              <w:pStyle w:val="BodyTextIndent"/>
              <w:tabs>
                <w:tab w:val="left" w:pos="3348"/>
              </w:tabs>
              <w:ind w:left="113" w:hanging="113"/>
              <w:rPr>
                <w:rFonts w:ascii="Times New Roman" w:hAnsi="Times New Roman"/>
                <w:color w:val="000000"/>
              </w:rPr>
            </w:pPr>
            <w:r w:rsidRPr="00335A11">
              <w:rPr>
                <w:rFonts w:ascii="Times New Roman" w:hAnsi="Times New Roman"/>
                <w:color w:val="000000"/>
              </w:rPr>
              <w:t>Pearson, Michael</w:t>
            </w:r>
            <w:r w:rsidRPr="00335A11">
              <w:rPr>
                <w:rFonts w:ascii="Times New Roman" w:hAnsi="Times New Roman"/>
                <w:color w:val="000000"/>
              </w:rPr>
              <w:tab/>
            </w:r>
            <w:hyperlink r:id="rId13" w:history="1">
              <w:r w:rsidRPr="00216994">
                <w:rPr>
                  <w:rStyle w:val="Hyperlink"/>
                  <w:rFonts w:ascii="Times New Roman" w:hAnsi="Times New Roman"/>
                </w:rPr>
                <w:t>m.pearson@auckland.ac.nz</w:t>
              </w:r>
            </w:hyperlink>
          </w:p>
          <w:p w14:paraId="124921BF" w14:textId="77777777" w:rsidR="00EC28C8" w:rsidRPr="00335A11" w:rsidRDefault="00EC28C8" w:rsidP="00EC28C8">
            <w:pPr>
              <w:pStyle w:val="BodyTextIndent"/>
              <w:tabs>
                <w:tab w:val="left" w:pos="3348"/>
              </w:tabs>
              <w:ind w:left="113" w:hanging="113"/>
              <w:rPr>
                <w:rFonts w:ascii="Times New Roman" w:hAnsi="Times New Roman"/>
                <w:color w:val="000000"/>
                <w:lang w:val="sv-SE"/>
              </w:rPr>
            </w:pPr>
            <w:r w:rsidRPr="00335A11">
              <w:rPr>
                <w:rFonts w:ascii="Times New Roman" w:hAnsi="Times New Roman"/>
                <w:color w:val="000000"/>
                <w:lang w:val="sv-SE"/>
              </w:rPr>
              <w:t>Saldarelli, Pasquale</w:t>
            </w:r>
            <w:r w:rsidRPr="00335A11">
              <w:rPr>
                <w:rFonts w:ascii="Times New Roman" w:hAnsi="Times New Roman"/>
                <w:color w:val="000000"/>
                <w:lang w:val="sv-SE"/>
              </w:rPr>
              <w:tab/>
            </w:r>
            <w:hyperlink r:id="rId14" w:history="1">
              <w:r w:rsidRPr="00335A11">
                <w:rPr>
                  <w:rStyle w:val="Hyperlink"/>
                  <w:rFonts w:ascii="Times New Roman" w:hAnsi="Times New Roman"/>
                  <w:lang w:val="sv-SE"/>
                </w:rPr>
                <w:t>p.saldarelli@ba.ivv.cnr.it</w:t>
              </w:r>
            </w:hyperlink>
          </w:p>
          <w:p w14:paraId="1AA06871" w14:textId="77777777" w:rsidR="00EC28C8" w:rsidRPr="00335A11" w:rsidRDefault="00EC28C8" w:rsidP="00EC28C8">
            <w:pPr>
              <w:pStyle w:val="BodyTextIndent"/>
              <w:tabs>
                <w:tab w:val="left" w:pos="3348"/>
              </w:tabs>
              <w:ind w:left="113" w:hanging="113"/>
              <w:rPr>
                <w:rFonts w:ascii="Times New Roman" w:hAnsi="Times New Roman"/>
                <w:color w:val="000000"/>
                <w:lang w:val="sv-SE"/>
              </w:rPr>
            </w:pPr>
            <w:r w:rsidRPr="00335A11">
              <w:rPr>
                <w:rFonts w:ascii="Times New Roman" w:hAnsi="Times New Roman"/>
                <w:color w:val="000000"/>
                <w:lang w:val="sv-SE"/>
              </w:rPr>
              <w:t>Vaira, Anna Maria</w:t>
            </w:r>
            <w:r w:rsidRPr="00335A11">
              <w:rPr>
                <w:rFonts w:ascii="Times New Roman" w:hAnsi="Times New Roman"/>
                <w:color w:val="000000"/>
                <w:lang w:val="sv-SE"/>
              </w:rPr>
              <w:tab/>
            </w:r>
            <w:hyperlink r:id="rId15" w:history="1">
              <w:r w:rsidRPr="00335A11">
                <w:rPr>
                  <w:rStyle w:val="Hyperlink"/>
                  <w:rFonts w:ascii="Times New Roman" w:hAnsi="Times New Roman"/>
                  <w:lang w:val="sv-SE"/>
                </w:rPr>
                <w:t>a.vaira@ivv.cnr.it</w:t>
              </w:r>
            </w:hyperlink>
          </w:p>
          <w:p w14:paraId="16D3788A" w14:textId="77777777" w:rsidR="00EC28C8" w:rsidRPr="00216994" w:rsidRDefault="00EC28C8" w:rsidP="00EC28C8">
            <w:pPr>
              <w:pStyle w:val="BodyTextIndent"/>
              <w:tabs>
                <w:tab w:val="left" w:pos="3348"/>
              </w:tabs>
              <w:ind w:left="113" w:hanging="113"/>
              <w:rPr>
                <w:rFonts w:ascii="Times New Roman" w:hAnsi="Times New Roman"/>
                <w:color w:val="000000"/>
              </w:rPr>
            </w:pPr>
            <w:r w:rsidRPr="00216994">
              <w:rPr>
                <w:rFonts w:ascii="Times New Roman" w:hAnsi="Times New Roman"/>
                <w:color w:val="000000"/>
              </w:rPr>
              <w:t>Yoshikawa, Nobuyuki</w:t>
            </w:r>
            <w:r w:rsidRPr="00216994">
              <w:rPr>
                <w:rFonts w:ascii="Times New Roman" w:hAnsi="Times New Roman"/>
                <w:color w:val="000000"/>
              </w:rPr>
              <w:tab/>
            </w:r>
            <w:hyperlink r:id="rId16" w:history="1">
              <w:r w:rsidRPr="00216994">
                <w:rPr>
                  <w:rStyle w:val="Hyperlink"/>
                  <w:rFonts w:ascii="Times New Roman" w:hAnsi="Times New Roman"/>
                </w:rPr>
                <w:t>yoshikawa@iwate-u.ac.jp</w:t>
              </w:r>
            </w:hyperlink>
          </w:p>
          <w:p w14:paraId="49C41688" w14:textId="6350CF29" w:rsidR="00636B14" w:rsidRPr="00EC28C8" w:rsidRDefault="00636B14" w:rsidP="00EC28C8">
            <w:pPr>
              <w:tabs>
                <w:tab w:val="left" w:pos="3348"/>
              </w:tabs>
              <w:ind w:left="113" w:hanging="113"/>
            </w:pPr>
          </w:p>
        </w:tc>
      </w:tr>
      <w:tr w:rsidR="00CE5ECF" w:rsidRPr="001E492D" w14:paraId="66A7E9EA" w14:textId="77777777" w:rsidTr="003B1954">
        <w:tc>
          <w:tcPr>
            <w:tcW w:w="9468" w:type="dxa"/>
            <w:gridSpan w:val="6"/>
          </w:tcPr>
          <w:p w14:paraId="7D8B5E27"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DA6DE4" w14:paraId="04C6D47C"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2C5AE91" w14:textId="77777777" w:rsidR="00CE5ECF" w:rsidRPr="00216994" w:rsidRDefault="00EC28C8" w:rsidP="003B1954">
            <w:pPr>
              <w:pStyle w:val="BodyTextIndent"/>
              <w:ind w:left="0" w:firstLine="0"/>
              <w:rPr>
                <w:rFonts w:ascii="Times New Roman" w:hAnsi="Times New Roman"/>
                <w:color w:val="000000"/>
                <w:lang w:val="nl-NL"/>
              </w:rPr>
            </w:pPr>
            <w:r w:rsidRPr="00216994">
              <w:rPr>
                <w:rFonts w:ascii="Times New Roman" w:hAnsi="Times New Roman"/>
                <w:color w:val="000000"/>
                <w:lang w:val="nl-NL"/>
              </w:rPr>
              <w:t xml:space="preserve">Jan Kreuze       </w:t>
            </w:r>
            <w:hyperlink r:id="rId17" w:history="1">
              <w:r w:rsidRPr="00216994">
                <w:rPr>
                  <w:rStyle w:val="Hyperlink"/>
                  <w:rFonts w:ascii="Times New Roman" w:hAnsi="Times New Roman"/>
                  <w:lang w:val="nl-NL"/>
                </w:rPr>
                <w:t>j.kreuze@cgiar.org</w:t>
              </w:r>
            </w:hyperlink>
          </w:p>
        </w:tc>
      </w:tr>
      <w:tr w:rsidR="00D1634C" w14:paraId="507E05F9" w14:textId="77777777">
        <w:tc>
          <w:tcPr>
            <w:tcW w:w="9468" w:type="dxa"/>
            <w:gridSpan w:val="6"/>
          </w:tcPr>
          <w:p w14:paraId="5AD24A6C"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0CF723C5"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0DB7FB26"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662AA48A" w14:textId="77777777" w:rsidR="00D1634C" w:rsidRPr="00986F6A" w:rsidRDefault="008F21F3" w:rsidP="00C15EC4">
            <w:pPr>
              <w:jc w:val="both"/>
              <w:rPr>
                <w:b/>
              </w:rPr>
            </w:pPr>
            <w:r>
              <w:rPr>
                <w:b/>
              </w:rPr>
              <w:t>Flexiviruses</w:t>
            </w:r>
          </w:p>
        </w:tc>
      </w:tr>
      <w:tr w:rsidR="00AA3952" w:rsidRPr="001E492D" w14:paraId="7BE25D01" w14:textId="77777777">
        <w:trPr>
          <w:tblHeader/>
        </w:trPr>
        <w:tc>
          <w:tcPr>
            <w:tcW w:w="9468" w:type="dxa"/>
            <w:gridSpan w:val="6"/>
          </w:tcPr>
          <w:p w14:paraId="0023E3AF"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274AE0BF" w14:textId="77777777">
        <w:trPr>
          <w:trHeight w:val="270"/>
        </w:trPr>
        <w:tc>
          <w:tcPr>
            <w:tcW w:w="9468" w:type="dxa"/>
            <w:gridSpan w:val="6"/>
            <w:tcBorders>
              <w:top w:val="single" w:sz="4" w:space="0" w:color="auto"/>
              <w:bottom w:val="single" w:sz="4" w:space="0" w:color="auto"/>
            </w:tcBorders>
          </w:tcPr>
          <w:p w14:paraId="3616E48E"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60498EA2" w14:textId="77777777">
        <w:trPr>
          <w:trHeight w:val="270"/>
        </w:trPr>
        <w:tc>
          <w:tcPr>
            <w:tcW w:w="9468" w:type="dxa"/>
            <w:gridSpan w:val="6"/>
            <w:tcBorders>
              <w:top w:val="single" w:sz="4" w:space="0" w:color="auto"/>
            </w:tcBorders>
          </w:tcPr>
          <w:p w14:paraId="7E9CCBF6" w14:textId="77777777" w:rsidR="00422FF0" w:rsidRDefault="00422FF0" w:rsidP="00291213">
            <w:pPr>
              <w:pStyle w:val="BodyTextIndent"/>
              <w:ind w:left="0" w:firstLine="0"/>
              <w:rPr>
                <w:rFonts w:ascii="Times New Roman" w:hAnsi="Times New Roman"/>
                <w:color w:val="000000"/>
              </w:rPr>
            </w:pPr>
          </w:p>
        </w:tc>
      </w:tr>
      <w:tr w:rsidR="00422FF0" w:rsidRPr="001E492D" w14:paraId="27197EA1" w14:textId="77777777" w:rsidTr="00C15EC4">
        <w:trPr>
          <w:trHeight w:val="270"/>
        </w:trPr>
        <w:tc>
          <w:tcPr>
            <w:tcW w:w="5786" w:type="dxa"/>
            <w:gridSpan w:val="4"/>
          </w:tcPr>
          <w:p w14:paraId="00F1B6D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540035B7" w14:textId="45EC0D9D" w:rsidR="00422FF0" w:rsidRDefault="00874188" w:rsidP="006F44A4">
            <w:pPr>
              <w:pStyle w:val="BodyTextIndent"/>
              <w:ind w:left="0" w:firstLine="0"/>
              <w:rPr>
                <w:rFonts w:ascii="Times New Roman" w:hAnsi="Times New Roman"/>
                <w:color w:val="000000"/>
              </w:rPr>
            </w:pPr>
            <w:r>
              <w:rPr>
                <w:rFonts w:ascii="Times New Roman" w:hAnsi="Times New Roman"/>
                <w:color w:val="000000"/>
              </w:rPr>
              <w:t>June 2017</w:t>
            </w:r>
          </w:p>
        </w:tc>
      </w:tr>
      <w:tr w:rsidR="00422FF0" w:rsidRPr="001E492D" w14:paraId="557BE1F4" w14:textId="77777777" w:rsidTr="00C15EC4">
        <w:trPr>
          <w:trHeight w:val="270"/>
        </w:trPr>
        <w:tc>
          <w:tcPr>
            <w:tcW w:w="5786" w:type="dxa"/>
            <w:gridSpan w:val="4"/>
            <w:tcBorders>
              <w:bottom w:val="single" w:sz="4" w:space="0" w:color="auto"/>
            </w:tcBorders>
          </w:tcPr>
          <w:p w14:paraId="181BC0EE"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BC52726"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0C981EF1"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4EDB33E9" w14:textId="77777777" w:rsidTr="003B1954">
        <w:tc>
          <w:tcPr>
            <w:tcW w:w="9468" w:type="dxa"/>
          </w:tcPr>
          <w:p w14:paraId="42E7BA19"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61AF1F0C" w14:textId="77777777" w:rsidTr="003B1954">
        <w:tc>
          <w:tcPr>
            <w:tcW w:w="9468" w:type="dxa"/>
            <w:tcBorders>
              <w:top w:val="single" w:sz="4" w:space="0" w:color="auto"/>
              <w:left w:val="single" w:sz="4" w:space="0" w:color="auto"/>
              <w:bottom w:val="single" w:sz="4" w:space="0" w:color="auto"/>
              <w:right w:val="single" w:sz="4" w:space="0" w:color="auto"/>
            </w:tcBorders>
          </w:tcPr>
          <w:p w14:paraId="4A6361E3"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16470A8B" w14:textId="77777777" w:rsidR="00991A82" w:rsidRDefault="00991A82" w:rsidP="009E036E">
      <w:pPr>
        <w:pStyle w:val="BodyTextIndent"/>
        <w:ind w:left="0" w:firstLine="0"/>
        <w:rPr>
          <w:rFonts w:ascii="Times New Roman" w:hAnsi="Times New Roman"/>
          <w:color w:val="000000"/>
          <w:sz w:val="22"/>
          <w:szCs w:val="22"/>
        </w:rPr>
      </w:pPr>
    </w:p>
    <w:p w14:paraId="3E6C41A6" w14:textId="77777777" w:rsidR="004B5D02" w:rsidRDefault="004B5D02" w:rsidP="009E036E">
      <w:pPr>
        <w:pStyle w:val="BodyTextIndent"/>
        <w:ind w:left="0" w:firstLine="0"/>
        <w:rPr>
          <w:rFonts w:ascii="Times New Roman" w:hAnsi="Times New Roman"/>
          <w:color w:val="000000"/>
          <w:sz w:val="22"/>
          <w:szCs w:val="22"/>
        </w:rPr>
      </w:pPr>
    </w:p>
    <w:p w14:paraId="5A1F5E43"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65829589" w14:textId="77777777" w:rsidTr="007279B1">
        <w:tc>
          <w:tcPr>
            <w:tcW w:w="9468" w:type="dxa"/>
            <w:tcBorders>
              <w:top w:val="nil"/>
              <w:left w:val="nil"/>
              <w:right w:val="nil"/>
            </w:tcBorders>
            <w:vAlign w:val="center"/>
          </w:tcPr>
          <w:p w14:paraId="00700BD5"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lastRenderedPageBreak/>
              <w:t>Present the proposed new taxonomy on accompanying spreadsheet</w:t>
            </w:r>
          </w:p>
        </w:tc>
      </w:tr>
      <w:tr w:rsidR="007D6DB6" w:rsidRPr="001E492D" w14:paraId="34CA4E6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5DAF9A96" w14:textId="5A3AECA4" w:rsidR="007D6DB6" w:rsidRPr="001E492D" w:rsidRDefault="007D6DB6" w:rsidP="007279B1">
            <w:pPr>
              <w:spacing w:before="120"/>
              <w:rPr>
                <w:b/>
              </w:rPr>
            </w:pPr>
            <w:r>
              <w:rPr>
                <w:b/>
              </w:rPr>
              <w:t>Name of accompanying spreadsheet:</w:t>
            </w:r>
            <w:r w:rsidR="008F21F3">
              <w:rPr>
                <w:b/>
              </w:rPr>
              <w:t xml:space="preserve"> </w:t>
            </w:r>
            <w:r w:rsidR="00874188" w:rsidRPr="00874188">
              <w:rPr>
                <w:b/>
              </w:rPr>
              <w:t>2017.020P.N.v1.Deltaflexiviridae</w:t>
            </w:r>
            <w:bookmarkStart w:id="1" w:name="_GoBack"/>
            <w:bookmarkEnd w:id="1"/>
          </w:p>
        </w:tc>
      </w:tr>
    </w:tbl>
    <w:p w14:paraId="502F6E95"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46B232CE" w14:textId="77777777" w:rsidR="00534EED" w:rsidRDefault="00534EED" w:rsidP="00603CFD">
      <w:pPr>
        <w:pStyle w:val="BodyTextIndent"/>
        <w:ind w:left="0" w:firstLine="0"/>
        <w:rPr>
          <w:rFonts w:ascii="Arial" w:hAnsi="Arial" w:cs="Arial"/>
          <w:color w:val="000000"/>
          <w:sz w:val="20"/>
        </w:rPr>
      </w:pPr>
    </w:p>
    <w:p w14:paraId="3D53D929"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362FB798" w14:textId="77777777">
        <w:trPr>
          <w:tblHeader/>
        </w:trPr>
        <w:tc>
          <w:tcPr>
            <w:tcW w:w="9228" w:type="dxa"/>
          </w:tcPr>
          <w:p w14:paraId="54BEC8F1"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0C592114" w14:textId="77777777">
        <w:trPr>
          <w:tblHeader/>
        </w:trPr>
        <w:tc>
          <w:tcPr>
            <w:tcW w:w="9228" w:type="dxa"/>
          </w:tcPr>
          <w:p w14:paraId="5FA3073A" w14:textId="77777777" w:rsidR="00AC0E72" w:rsidRPr="001E492D" w:rsidRDefault="00AC0E72" w:rsidP="00A11ACF">
            <w:pPr>
              <w:spacing w:after="120"/>
              <w:rPr>
                <w:b/>
              </w:rPr>
            </w:pPr>
            <w:r>
              <w:rPr>
                <w:b/>
              </w:rPr>
              <w:t>References</w:t>
            </w:r>
            <w:r w:rsidRPr="001E492D">
              <w:rPr>
                <w:b/>
              </w:rPr>
              <w:t>:</w:t>
            </w:r>
          </w:p>
        </w:tc>
      </w:tr>
      <w:tr w:rsidR="00AC0E72" w:rsidRPr="001E492D" w14:paraId="68CF4AC5" w14:textId="77777777">
        <w:tc>
          <w:tcPr>
            <w:tcW w:w="9228" w:type="dxa"/>
            <w:tcBorders>
              <w:top w:val="single" w:sz="8" w:space="0" w:color="auto"/>
              <w:left w:val="single" w:sz="8" w:space="0" w:color="auto"/>
              <w:bottom w:val="single" w:sz="8" w:space="0" w:color="auto"/>
              <w:right w:val="single" w:sz="8" w:space="0" w:color="auto"/>
            </w:tcBorders>
          </w:tcPr>
          <w:p w14:paraId="5256AA0C" w14:textId="77777777" w:rsidR="008F21F3" w:rsidRPr="00EC28C8" w:rsidRDefault="008F21F3" w:rsidP="008F21F3">
            <w:pPr>
              <w:ind w:left="720" w:hanging="630"/>
              <w:rPr>
                <w:color w:val="222222"/>
                <w:sz w:val="22"/>
                <w:szCs w:val="22"/>
                <w:shd w:val="clear" w:color="auto" w:fill="FFFFFF"/>
              </w:rPr>
            </w:pPr>
            <w:r w:rsidRPr="00EC28C8">
              <w:rPr>
                <w:color w:val="222222"/>
                <w:sz w:val="22"/>
                <w:szCs w:val="22"/>
                <w:shd w:val="clear" w:color="auto" w:fill="FFFFFF"/>
              </w:rPr>
              <w:t xml:space="preserve">Chen X., He, H., Yang, X., Zeng, H., Qiu, D &amp; Guo, L. (2016). The complete sequence of a novel </w:t>
            </w:r>
            <w:r w:rsidRPr="00EC28C8">
              <w:rPr>
                <w:i/>
                <w:color w:val="222222"/>
                <w:sz w:val="22"/>
                <w:szCs w:val="22"/>
                <w:shd w:val="clear" w:color="auto" w:fill="FFFFFF"/>
              </w:rPr>
              <w:t>Fusarium graminearum</w:t>
            </w:r>
            <w:r w:rsidRPr="00EC28C8">
              <w:rPr>
                <w:color w:val="222222"/>
                <w:sz w:val="22"/>
                <w:szCs w:val="22"/>
                <w:shd w:val="clear" w:color="auto" w:fill="FFFFFF"/>
              </w:rPr>
              <w:t xml:space="preserve"> RNA virus in a new proposed family within the order </w:t>
            </w:r>
            <w:r w:rsidRPr="00EC28C8">
              <w:rPr>
                <w:i/>
                <w:color w:val="222222"/>
                <w:sz w:val="22"/>
                <w:szCs w:val="22"/>
                <w:shd w:val="clear" w:color="auto" w:fill="FFFFFF"/>
              </w:rPr>
              <w:t>Tymovirales</w:t>
            </w:r>
            <w:r w:rsidRPr="00EC28C8">
              <w:rPr>
                <w:color w:val="222222"/>
                <w:sz w:val="22"/>
                <w:szCs w:val="22"/>
                <w:shd w:val="clear" w:color="auto" w:fill="FFFFFF"/>
              </w:rPr>
              <w:t xml:space="preserve">. </w:t>
            </w:r>
            <w:r w:rsidRPr="00EC28C8">
              <w:rPr>
                <w:i/>
                <w:color w:val="222222"/>
                <w:sz w:val="22"/>
                <w:szCs w:val="22"/>
                <w:shd w:val="clear" w:color="auto" w:fill="FFFFFF"/>
              </w:rPr>
              <w:t>Archives of Virology</w:t>
            </w:r>
            <w:r w:rsidRPr="00EC28C8">
              <w:rPr>
                <w:color w:val="222222"/>
                <w:sz w:val="22"/>
                <w:szCs w:val="22"/>
                <w:shd w:val="clear" w:color="auto" w:fill="FFFFFF"/>
              </w:rPr>
              <w:t xml:space="preserve"> 161:2899-2903. doi 10.1007/s00705-016-2961-1</w:t>
            </w:r>
          </w:p>
          <w:p w14:paraId="61C66786" w14:textId="77777777" w:rsidR="008F21F3" w:rsidRPr="00EC28C8" w:rsidRDefault="008F21F3" w:rsidP="008F21F3">
            <w:pPr>
              <w:ind w:left="720" w:hanging="630"/>
              <w:rPr>
                <w:color w:val="222222"/>
                <w:sz w:val="22"/>
                <w:szCs w:val="22"/>
                <w:shd w:val="clear" w:color="auto" w:fill="FFFFFF"/>
              </w:rPr>
            </w:pPr>
            <w:r w:rsidRPr="00EC28C8">
              <w:rPr>
                <w:color w:val="222222"/>
                <w:sz w:val="22"/>
                <w:szCs w:val="22"/>
                <w:shd w:val="clear" w:color="auto" w:fill="FFFFFF"/>
              </w:rPr>
              <w:t xml:space="preserve">Li, K., Zheng, D., Cheng, J., Chen, T., Fu, Y., Jiang, D., &amp; Xie, J. (2016). Characterization of a novel </w:t>
            </w:r>
            <w:r w:rsidRPr="00EC28C8">
              <w:rPr>
                <w:i/>
                <w:color w:val="222222"/>
                <w:sz w:val="22"/>
                <w:szCs w:val="22"/>
                <w:shd w:val="clear" w:color="auto" w:fill="FFFFFF"/>
              </w:rPr>
              <w:t>Sclerotinia sclerotiorum</w:t>
            </w:r>
            <w:r w:rsidRPr="00EC28C8">
              <w:rPr>
                <w:color w:val="222222"/>
                <w:sz w:val="22"/>
                <w:szCs w:val="22"/>
                <w:shd w:val="clear" w:color="auto" w:fill="FFFFFF"/>
              </w:rPr>
              <w:t xml:space="preserve"> RNA virus as the prototype of a new proposed family within the order </w:t>
            </w:r>
            <w:r w:rsidRPr="00EC28C8">
              <w:rPr>
                <w:i/>
                <w:color w:val="222222"/>
                <w:sz w:val="22"/>
                <w:szCs w:val="22"/>
                <w:shd w:val="clear" w:color="auto" w:fill="FFFFFF"/>
              </w:rPr>
              <w:t>Tymovirales</w:t>
            </w:r>
            <w:r w:rsidRPr="00EC28C8">
              <w:rPr>
                <w:color w:val="222222"/>
                <w:sz w:val="22"/>
                <w:szCs w:val="22"/>
                <w:shd w:val="clear" w:color="auto" w:fill="FFFFFF"/>
              </w:rPr>
              <w:t>.</w:t>
            </w:r>
            <w:r w:rsidRPr="00EC28C8">
              <w:rPr>
                <w:rStyle w:val="apple-converted-space"/>
                <w:color w:val="222222"/>
                <w:sz w:val="22"/>
                <w:szCs w:val="22"/>
                <w:shd w:val="clear" w:color="auto" w:fill="FFFFFF"/>
              </w:rPr>
              <w:t> </w:t>
            </w:r>
            <w:r w:rsidRPr="00EC28C8">
              <w:rPr>
                <w:i/>
                <w:iCs/>
                <w:color w:val="222222"/>
                <w:sz w:val="22"/>
                <w:szCs w:val="22"/>
                <w:shd w:val="clear" w:color="auto" w:fill="FFFFFF"/>
              </w:rPr>
              <w:t>Virus Research</w:t>
            </w:r>
            <w:r w:rsidRPr="00EC28C8">
              <w:rPr>
                <w:color w:val="222222"/>
                <w:sz w:val="22"/>
                <w:szCs w:val="22"/>
                <w:shd w:val="clear" w:color="auto" w:fill="FFFFFF"/>
              </w:rPr>
              <w:t xml:space="preserve"> 219: 92-99. doi: 10.1016/j.virusres.2015.11.019</w:t>
            </w:r>
          </w:p>
          <w:p w14:paraId="137E5F5E" w14:textId="77777777" w:rsidR="006C4A0C" w:rsidRPr="00EC28C8" w:rsidRDefault="008F21F3" w:rsidP="008F21F3">
            <w:pPr>
              <w:ind w:left="720" w:hanging="630"/>
              <w:rPr>
                <w:color w:val="000000"/>
                <w:sz w:val="22"/>
                <w:szCs w:val="22"/>
              </w:rPr>
            </w:pPr>
            <w:r w:rsidRPr="00EC28C8">
              <w:rPr>
                <w:color w:val="222222"/>
                <w:sz w:val="22"/>
                <w:szCs w:val="22"/>
                <w:shd w:val="clear" w:color="auto" w:fill="FFFFFF"/>
              </w:rPr>
              <w:t xml:space="preserve">Marzano, S-Y.L. &amp; Domier, L.L. (2016). Novel mycoviruses discovered from metatranscriptomics survey of soybean </w:t>
            </w:r>
            <w:r w:rsidR="001F2102" w:rsidRPr="00EC28C8">
              <w:rPr>
                <w:color w:val="222222"/>
                <w:sz w:val="22"/>
                <w:szCs w:val="22"/>
                <w:shd w:val="clear" w:color="auto" w:fill="FFFFFF"/>
              </w:rPr>
              <w:t>phyllos</w:t>
            </w:r>
            <w:r w:rsidR="001F2102">
              <w:rPr>
                <w:color w:val="222222"/>
                <w:sz w:val="22"/>
                <w:szCs w:val="22"/>
                <w:shd w:val="clear" w:color="auto" w:fill="FFFFFF"/>
              </w:rPr>
              <w:t>ph</w:t>
            </w:r>
            <w:r w:rsidR="001F2102" w:rsidRPr="00EC28C8">
              <w:rPr>
                <w:color w:val="222222"/>
                <w:sz w:val="22"/>
                <w:szCs w:val="22"/>
                <w:shd w:val="clear" w:color="auto" w:fill="FFFFFF"/>
              </w:rPr>
              <w:t xml:space="preserve">ere </w:t>
            </w:r>
            <w:r w:rsidRPr="00EC28C8">
              <w:rPr>
                <w:color w:val="222222"/>
                <w:sz w:val="22"/>
                <w:szCs w:val="22"/>
                <w:shd w:val="clear" w:color="auto" w:fill="FFFFFF"/>
              </w:rPr>
              <w:t xml:space="preserve">phytobiomes. </w:t>
            </w:r>
            <w:r w:rsidRPr="00EC28C8">
              <w:rPr>
                <w:i/>
                <w:color w:val="222222"/>
                <w:sz w:val="22"/>
                <w:szCs w:val="22"/>
                <w:shd w:val="clear" w:color="auto" w:fill="FFFFFF"/>
              </w:rPr>
              <w:t>Virus Research</w:t>
            </w:r>
            <w:r w:rsidRPr="00EC28C8">
              <w:rPr>
                <w:color w:val="222222"/>
                <w:sz w:val="22"/>
                <w:szCs w:val="22"/>
                <w:shd w:val="clear" w:color="auto" w:fill="FFFFFF"/>
              </w:rPr>
              <w:t xml:space="preserve"> 213: 332-342. Doi: 10.1016/j.virusres.2015.11.002</w:t>
            </w:r>
          </w:p>
          <w:p w14:paraId="721D4AE6" w14:textId="77777777" w:rsidR="006C4A0C" w:rsidRPr="00C61931" w:rsidRDefault="006C4A0C" w:rsidP="00EC28C8">
            <w:pPr>
              <w:pStyle w:val="BodyTextIndent"/>
              <w:ind w:left="0" w:firstLine="0"/>
              <w:rPr>
                <w:rFonts w:ascii="Times New Roman" w:hAnsi="Times New Roman"/>
                <w:color w:val="000000"/>
              </w:rPr>
            </w:pPr>
          </w:p>
        </w:tc>
      </w:tr>
    </w:tbl>
    <w:p w14:paraId="73745316" w14:textId="77777777" w:rsidR="00AC0E72" w:rsidRDefault="00AC0E72" w:rsidP="00AC0E72"/>
    <w:p w14:paraId="50A465EE" w14:textId="77777777" w:rsidR="008F21F3" w:rsidRDefault="008F21F3" w:rsidP="000959E0">
      <w:pPr>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4DE74DE0" w14:textId="77777777" w:rsidR="008F21F3" w:rsidRDefault="008F21F3" w:rsidP="008F21F3">
      <w:pPr>
        <w:rPr>
          <w:color w:val="222222"/>
          <w:shd w:val="clear" w:color="auto" w:fill="FFFFFF"/>
        </w:rPr>
      </w:pPr>
    </w:p>
    <w:p w14:paraId="3DA3723A" w14:textId="77777777" w:rsidR="008F21F3" w:rsidRDefault="008F21F3" w:rsidP="008F21F3">
      <w:pPr>
        <w:rPr>
          <w:color w:val="222222"/>
          <w:shd w:val="clear" w:color="auto" w:fill="FFFFFF"/>
        </w:rPr>
      </w:pPr>
      <w:r>
        <w:rPr>
          <w:color w:val="222222"/>
          <w:shd w:val="clear" w:color="auto" w:fill="FFFFFF"/>
        </w:rPr>
        <w:t xml:space="preserve">Three viruses recently reported (probably all mycoviruses) are clearly related to one another and it has been suggested (Li et al., 2016; Chen et al., 2016) that they justify the creation of a new family, </w:t>
      </w:r>
      <w:r w:rsidRPr="000557D9">
        <w:rPr>
          <w:i/>
          <w:color w:val="222222"/>
          <w:shd w:val="clear" w:color="auto" w:fill="FFFFFF"/>
        </w:rPr>
        <w:t>Deltaflexiviridae</w:t>
      </w:r>
      <w:r>
        <w:rPr>
          <w:color w:val="222222"/>
          <w:shd w:val="clear" w:color="auto" w:fill="FFFFFF"/>
        </w:rPr>
        <w:t xml:space="preserve">, within the order </w:t>
      </w:r>
      <w:r w:rsidRPr="000557D9">
        <w:rPr>
          <w:i/>
          <w:color w:val="222222"/>
          <w:shd w:val="clear" w:color="auto" w:fill="FFFFFF"/>
        </w:rPr>
        <w:t>Tymovirales</w:t>
      </w:r>
      <w:r>
        <w:rPr>
          <w:color w:val="222222"/>
          <w:shd w:val="clear" w:color="auto" w:fill="FFFFFF"/>
        </w:rPr>
        <w:t>. Details of the viruses are as follows:</w:t>
      </w:r>
    </w:p>
    <w:p w14:paraId="4261EB78" w14:textId="77777777" w:rsidR="008F21F3" w:rsidRPr="00BB0B8B" w:rsidRDefault="008F21F3" w:rsidP="008F21F3">
      <w:pPr>
        <w:rPr>
          <w:color w:val="222222"/>
          <w:shd w:val="clear" w:color="auto" w:fill="FFFFFF"/>
        </w:rPr>
      </w:pPr>
    </w:p>
    <w:p w14:paraId="4193309D" w14:textId="77777777" w:rsidR="008F21F3" w:rsidRPr="0056024B" w:rsidRDefault="008F21F3" w:rsidP="008F21F3">
      <w:pPr>
        <w:rPr>
          <w:b/>
          <w:color w:val="222222"/>
          <w:shd w:val="clear" w:color="auto" w:fill="FFFFFF"/>
        </w:rPr>
      </w:pPr>
      <w:r w:rsidRPr="0056024B">
        <w:rPr>
          <w:b/>
          <w:color w:val="222222"/>
          <w:shd w:val="clear" w:color="auto" w:fill="FFFFFF"/>
        </w:rPr>
        <w:t>Sclerotinia sclerotiorum deltaflexivirus 1</w:t>
      </w:r>
      <w:r>
        <w:rPr>
          <w:b/>
          <w:color w:val="222222"/>
          <w:shd w:val="clear" w:color="auto" w:fill="FFFFFF"/>
        </w:rPr>
        <w:t xml:space="preserve"> (</w:t>
      </w:r>
      <w:bookmarkStart w:id="2" w:name="OLE_LINK4"/>
      <w:r w:rsidRPr="00D7423E">
        <w:rPr>
          <w:b/>
          <w:color w:val="222222"/>
          <w:shd w:val="clear" w:color="auto" w:fill="FFFFFF"/>
        </w:rPr>
        <w:t>SsDFV1</w:t>
      </w:r>
      <w:bookmarkEnd w:id="2"/>
      <w:r>
        <w:rPr>
          <w:b/>
          <w:color w:val="222222"/>
          <w:shd w:val="clear" w:color="auto" w:fill="FFFFFF"/>
        </w:rPr>
        <w:t>)</w:t>
      </w:r>
      <w:r w:rsidRPr="0056024B">
        <w:rPr>
          <w:b/>
          <w:color w:val="222222"/>
          <w:shd w:val="clear" w:color="auto" w:fill="FFFFFF"/>
        </w:rPr>
        <w:t xml:space="preserve"> (Li et al., 2016; KT581451)</w:t>
      </w:r>
    </w:p>
    <w:p w14:paraId="46BCBE97" w14:textId="48E433F9" w:rsidR="008F21F3" w:rsidRDefault="008F21F3" w:rsidP="008F21F3">
      <w:pPr>
        <w:rPr>
          <w:color w:val="222222"/>
          <w:shd w:val="clear" w:color="auto" w:fill="FFFFFF"/>
        </w:rPr>
      </w:pPr>
      <w:r>
        <w:rPr>
          <w:color w:val="222222"/>
          <w:shd w:val="clear" w:color="auto" w:fill="FFFFFF"/>
        </w:rPr>
        <w:t xml:space="preserve">Double-stranded RNA was extracted from an isolate of the plant pathogen, </w:t>
      </w:r>
      <w:r w:rsidRPr="0034503D">
        <w:rPr>
          <w:i/>
          <w:color w:val="222222"/>
          <w:shd w:val="clear" w:color="auto" w:fill="FFFFFF"/>
        </w:rPr>
        <w:t>Sclerotinia sclerotiorum</w:t>
      </w:r>
      <w:r>
        <w:rPr>
          <w:color w:val="222222"/>
          <w:shd w:val="clear" w:color="auto" w:fill="FFFFFF"/>
        </w:rPr>
        <w:t xml:space="preserve"> and a band of ~8 kb was identified in PAGE. After purification, this was used as a template for RT-PCR using random primers and further RT-PCR and RACE steps were used to amplify and then assemble a virus sequence of 8148 nt excluding the polyA tail. A large ORF (</w:t>
      </w:r>
      <w:r w:rsidR="00AE070C">
        <w:rPr>
          <w:color w:val="222222"/>
          <w:shd w:val="clear" w:color="auto" w:fill="FFFFFF"/>
        </w:rPr>
        <w:t xml:space="preserve">coding for a polyprotein of </w:t>
      </w:r>
      <w:r>
        <w:rPr>
          <w:color w:val="222222"/>
          <w:shd w:val="clear" w:color="auto" w:fill="FFFFFF"/>
        </w:rPr>
        <w:t xml:space="preserve">2075 aa; 230kDa) was identified and three smaller ORFs downstream (Figure 1) that had no </w:t>
      </w:r>
      <w:r w:rsidR="004A3319">
        <w:rPr>
          <w:color w:val="222222"/>
          <w:shd w:val="clear" w:color="auto" w:fill="FFFFFF"/>
        </w:rPr>
        <w:t xml:space="preserve">recognizable </w:t>
      </w:r>
      <w:r>
        <w:rPr>
          <w:color w:val="222222"/>
          <w:shd w:val="clear" w:color="auto" w:fill="FFFFFF"/>
        </w:rPr>
        <w:t xml:space="preserve">similarity to other sequences in Genbank. The large </w:t>
      </w:r>
      <w:r w:rsidR="00AE070C">
        <w:rPr>
          <w:color w:val="222222"/>
          <w:shd w:val="clear" w:color="auto" w:fill="FFFFFF"/>
        </w:rPr>
        <w:t xml:space="preserve">polyprotein </w:t>
      </w:r>
      <w:r>
        <w:rPr>
          <w:color w:val="222222"/>
          <w:shd w:val="clear" w:color="auto" w:fill="FFFFFF"/>
        </w:rPr>
        <w:t xml:space="preserve">had </w:t>
      </w:r>
      <w:r w:rsidRPr="006F171F">
        <w:t>methyltransferase, helicase and RNA-dependent RNA polymerase</w:t>
      </w:r>
      <w:r>
        <w:t xml:space="preserve"> </w:t>
      </w:r>
      <w:r w:rsidRPr="006F171F">
        <w:t>(RdRp) domains</w:t>
      </w:r>
      <w:r>
        <w:t xml:space="preserve"> with distant similarity to members of the order </w:t>
      </w:r>
      <w:r w:rsidRPr="00662862">
        <w:rPr>
          <w:i/>
        </w:rPr>
        <w:t>Tymovirales</w:t>
      </w:r>
      <w:r>
        <w:t xml:space="preserve"> (generally 25-30% aa identity within these conserved domains). Attempts to isolate virions from the fungal mycelium were unsuccessful and the authors conclude that the virus is probably not encapsidated. Phylogenetic trees presented for the </w:t>
      </w:r>
      <w:r w:rsidRPr="006F171F">
        <w:t>methyltransferase</w:t>
      </w:r>
      <w:r>
        <w:t xml:space="preserve"> and </w:t>
      </w:r>
      <w:r w:rsidRPr="006F171F">
        <w:t>helicase</w:t>
      </w:r>
      <w:r>
        <w:t xml:space="preserve"> domains by the authors appear to show SsDFV1 as separate branch within the order </w:t>
      </w:r>
      <w:r w:rsidRPr="00D069E9">
        <w:rPr>
          <w:i/>
        </w:rPr>
        <w:t>Tymovirales</w:t>
      </w:r>
      <w:r>
        <w:t xml:space="preserve"> although these branches lack bootstrap support. A tree for the RdRp domain or the complete replication protein (rooted with a member of the family </w:t>
      </w:r>
      <w:r w:rsidRPr="00D069E9">
        <w:rPr>
          <w:i/>
        </w:rPr>
        <w:t>Hypoviridae</w:t>
      </w:r>
      <w:r>
        <w:t xml:space="preserve">) show SsDFV1 slightly below the root of the tree for the current order but the authors nevertheless propose that it represents a new species, new genus and new family in the order. </w:t>
      </w:r>
    </w:p>
    <w:p w14:paraId="51E8929A" w14:textId="77777777" w:rsidR="008F21F3" w:rsidRDefault="008F21F3" w:rsidP="008F21F3">
      <w:pPr>
        <w:rPr>
          <w:color w:val="222222"/>
          <w:shd w:val="clear" w:color="auto" w:fill="FFFFFF"/>
        </w:rPr>
      </w:pPr>
    </w:p>
    <w:p w14:paraId="624CFF6D" w14:textId="1EAF54AE" w:rsidR="008F21F3" w:rsidRPr="0056024B" w:rsidRDefault="008F21F3" w:rsidP="008F21F3">
      <w:pPr>
        <w:rPr>
          <w:b/>
          <w:color w:val="222222"/>
          <w:shd w:val="clear" w:color="auto" w:fill="FFFFFF"/>
        </w:rPr>
      </w:pPr>
      <w:bookmarkStart w:id="3" w:name="OLE_LINK5"/>
      <w:r w:rsidRPr="0056024B">
        <w:rPr>
          <w:b/>
          <w:color w:val="222222"/>
          <w:shd w:val="clear" w:color="auto" w:fill="FFFFFF"/>
        </w:rPr>
        <w:t>Soybean</w:t>
      </w:r>
      <w:r w:rsidR="002C4101">
        <w:rPr>
          <w:b/>
          <w:color w:val="222222"/>
          <w:shd w:val="clear" w:color="auto" w:fill="FFFFFF"/>
        </w:rPr>
        <w:t xml:space="preserve"> leaf</w:t>
      </w:r>
      <w:r w:rsidRPr="0056024B">
        <w:rPr>
          <w:b/>
          <w:color w:val="222222"/>
          <w:shd w:val="clear" w:color="auto" w:fill="FFFFFF"/>
        </w:rPr>
        <w:t>-associated mycoflexivirus 1</w:t>
      </w:r>
      <w:r>
        <w:rPr>
          <w:b/>
          <w:color w:val="222222"/>
          <w:shd w:val="clear" w:color="auto" w:fill="FFFFFF"/>
        </w:rPr>
        <w:t xml:space="preserve"> </w:t>
      </w:r>
      <w:bookmarkEnd w:id="3"/>
      <w:r>
        <w:rPr>
          <w:b/>
          <w:color w:val="222222"/>
          <w:shd w:val="clear" w:color="auto" w:fill="FFFFFF"/>
        </w:rPr>
        <w:t>(</w:t>
      </w:r>
      <w:bookmarkStart w:id="4" w:name="OLE_LINK7"/>
      <w:r w:rsidRPr="00D7423E">
        <w:rPr>
          <w:b/>
          <w:color w:val="222222"/>
          <w:shd w:val="clear" w:color="auto" w:fill="FFFFFF"/>
        </w:rPr>
        <w:t>SlaM</w:t>
      </w:r>
      <w:r w:rsidR="00494F5D">
        <w:rPr>
          <w:b/>
          <w:color w:val="222222"/>
          <w:shd w:val="clear" w:color="auto" w:fill="FFFFFF"/>
        </w:rPr>
        <w:t>F</w:t>
      </w:r>
      <w:r w:rsidRPr="00D7423E">
        <w:rPr>
          <w:b/>
          <w:color w:val="222222"/>
          <w:shd w:val="clear" w:color="auto" w:fill="FFFFFF"/>
        </w:rPr>
        <w:t>V1)</w:t>
      </w:r>
      <w:bookmarkEnd w:id="4"/>
      <w:r w:rsidRPr="00D7423E">
        <w:rPr>
          <w:b/>
          <w:color w:val="222222"/>
          <w:shd w:val="clear" w:color="auto" w:fill="FFFFFF"/>
        </w:rPr>
        <w:t xml:space="preserve"> </w:t>
      </w:r>
      <w:r w:rsidRPr="0056024B">
        <w:rPr>
          <w:b/>
          <w:color w:val="222222"/>
          <w:shd w:val="clear" w:color="auto" w:fill="FFFFFF"/>
        </w:rPr>
        <w:t xml:space="preserve">(Marzano &amp; Domier, 2016; </w:t>
      </w:r>
      <w:bookmarkStart w:id="5" w:name="OLE_LINK6"/>
      <w:r w:rsidRPr="0056024B">
        <w:rPr>
          <w:b/>
          <w:color w:val="222222"/>
          <w:shd w:val="clear" w:color="auto" w:fill="FFFFFF"/>
        </w:rPr>
        <w:t>KT598226</w:t>
      </w:r>
      <w:bookmarkEnd w:id="5"/>
      <w:r w:rsidRPr="0056024B">
        <w:rPr>
          <w:b/>
          <w:color w:val="222222"/>
          <w:shd w:val="clear" w:color="auto" w:fill="FFFFFF"/>
        </w:rPr>
        <w:t>)</w:t>
      </w:r>
    </w:p>
    <w:p w14:paraId="3EEFDE80" w14:textId="23611094" w:rsidR="008F21F3" w:rsidRPr="006F171F" w:rsidRDefault="008F21F3" w:rsidP="008F21F3">
      <w:pPr>
        <w:rPr>
          <w:color w:val="222222"/>
          <w:shd w:val="clear" w:color="auto" w:fill="FFFFFF"/>
        </w:rPr>
      </w:pPr>
      <w:r>
        <w:rPr>
          <w:color w:val="222222"/>
          <w:shd w:val="clear" w:color="auto" w:fill="FFFFFF"/>
        </w:rPr>
        <w:t xml:space="preserve">In a metatranscriptomics study of soybean leaf tissue, a large virus contig </w:t>
      </w:r>
      <w:r w:rsidRPr="006F171F">
        <w:t xml:space="preserve">(8327 nt; KT598226) </w:t>
      </w:r>
      <w:r>
        <w:rPr>
          <w:color w:val="222222"/>
          <w:shd w:val="clear" w:color="auto" w:fill="FFFFFF"/>
        </w:rPr>
        <w:t xml:space="preserve">was consistently assembled. The sequence </w:t>
      </w:r>
      <w:r w:rsidRPr="006F171F">
        <w:t>contained one</w:t>
      </w:r>
      <w:r>
        <w:t xml:space="preserve"> </w:t>
      </w:r>
      <w:r w:rsidRPr="006F171F">
        <w:t>large open reading frame and three small downstream</w:t>
      </w:r>
      <w:r>
        <w:t xml:space="preserve"> </w:t>
      </w:r>
      <w:r w:rsidRPr="006F171F">
        <w:t xml:space="preserve">ORFs </w:t>
      </w:r>
      <w:r>
        <w:t xml:space="preserve">were also predicted </w:t>
      </w:r>
      <w:r>
        <w:rPr>
          <w:color w:val="222222"/>
          <w:shd w:val="clear" w:color="auto" w:fill="FFFFFF"/>
        </w:rPr>
        <w:t>(Figure 1)</w:t>
      </w:r>
      <w:r w:rsidRPr="006F171F">
        <w:t xml:space="preserve">. The predicted amino acid sequence of ORF1 </w:t>
      </w:r>
      <w:r w:rsidR="00AE070C">
        <w:t xml:space="preserve">product </w:t>
      </w:r>
      <w:r>
        <w:t>(</w:t>
      </w:r>
      <w:r w:rsidRPr="00B05311">
        <w:t xml:space="preserve">2084 </w:t>
      </w:r>
      <w:r>
        <w:t>aa;</w:t>
      </w:r>
      <w:r w:rsidRPr="00B05311">
        <w:t xml:space="preserve"> 232</w:t>
      </w:r>
      <w:r>
        <w:t xml:space="preserve"> kDa</w:t>
      </w:r>
      <w:r w:rsidRPr="006F171F">
        <w:t>) contained</w:t>
      </w:r>
      <w:r>
        <w:t xml:space="preserve"> </w:t>
      </w:r>
      <w:r w:rsidRPr="006F171F">
        <w:t xml:space="preserve">methyltransferase, helicase and RNA-dependent </w:t>
      </w:r>
      <w:r w:rsidRPr="006F171F">
        <w:lastRenderedPageBreak/>
        <w:t>RNA polymerase</w:t>
      </w:r>
      <w:r>
        <w:t xml:space="preserve"> </w:t>
      </w:r>
      <w:r w:rsidRPr="006F171F">
        <w:t>(RdRp) domains and was most similar</w:t>
      </w:r>
      <w:r>
        <w:t xml:space="preserve"> (‘a maximum of 43% aa identity’)</w:t>
      </w:r>
      <w:r w:rsidRPr="006F171F">
        <w:t xml:space="preserve"> to the replicase of </w:t>
      </w:r>
      <w:r w:rsidR="00562099">
        <w:t xml:space="preserve">an isolate of </w:t>
      </w:r>
      <w:r w:rsidRPr="002C4101">
        <w:rPr>
          <w:i/>
        </w:rPr>
        <w:t>Botrytis virus F</w:t>
      </w:r>
      <w:r w:rsidRPr="006F171F">
        <w:t>, the type member of</w:t>
      </w:r>
      <w:r>
        <w:t xml:space="preserve"> </w:t>
      </w:r>
      <w:r w:rsidRPr="006F171F">
        <w:t xml:space="preserve">the genus </w:t>
      </w:r>
      <w:r w:rsidRPr="00BB0B8B">
        <w:rPr>
          <w:i/>
        </w:rPr>
        <w:t>Mycoflexivirus</w:t>
      </w:r>
      <w:r w:rsidRPr="006F171F">
        <w:t xml:space="preserve"> </w:t>
      </w:r>
      <w:r>
        <w:t>(</w:t>
      </w:r>
      <w:r w:rsidRPr="006F171F">
        <w:t xml:space="preserve">family </w:t>
      </w:r>
      <w:r w:rsidRPr="00BB0B8B">
        <w:rPr>
          <w:i/>
        </w:rPr>
        <w:t>Gammaflexiviridae</w:t>
      </w:r>
      <w:r>
        <w:t xml:space="preserve">, order </w:t>
      </w:r>
      <w:r w:rsidRPr="00BB0B8B">
        <w:rPr>
          <w:i/>
        </w:rPr>
        <w:t>Tymovirales</w:t>
      </w:r>
      <w:r>
        <w:t xml:space="preserve">) and the authors </w:t>
      </w:r>
      <w:r w:rsidR="007A3CA5">
        <w:t>suggeste</w:t>
      </w:r>
      <w:r>
        <w:t>d that the sequence represents a</w:t>
      </w:r>
      <w:r w:rsidR="007A3CA5">
        <w:t xml:space="preserve"> </w:t>
      </w:r>
      <w:r w:rsidR="007279B1">
        <w:t xml:space="preserve">genome of a </w:t>
      </w:r>
      <w:r w:rsidR="007A3CA5">
        <w:t>new</w:t>
      </w:r>
      <w:r>
        <w:t xml:space="preserve"> mycovirus.</w:t>
      </w:r>
      <w:r w:rsidRPr="006F171F">
        <w:t xml:space="preserve"> The predicted amino acid sequences of the downstream ORFs </w:t>
      </w:r>
      <w:r w:rsidR="007279B1">
        <w:t xml:space="preserve">products </w:t>
      </w:r>
      <w:r w:rsidRPr="006F171F">
        <w:t>did not show</w:t>
      </w:r>
      <w:r>
        <w:t xml:space="preserve"> </w:t>
      </w:r>
      <w:r w:rsidRPr="006F171F">
        <w:t>homology to other sequences in GenBank</w:t>
      </w:r>
      <w:r>
        <w:t xml:space="preserve"> and a </w:t>
      </w:r>
      <w:r w:rsidRPr="006F171F">
        <w:t xml:space="preserve">CP-encoding ORF </w:t>
      </w:r>
      <w:r>
        <w:t>could not be identified</w:t>
      </w:r>
      <w:r w:rsidRPr="006F171F">
        <w:t>.</w:t>
      </w:r>
      <w:r>
        <w:t xml:space="preserve"> The authors </w:t>
      </w:r>
      <w:r w:rsidR="007A3CA5">
        <w:t xml:space="preserve">suggested </w:t>
      </w:r>
      <w:r>
        <w:t xml:space="preserve">that the sequence is almost complete because of its size in relation to established members of the order </w:t>
      </w:r>
      <w:r w:rsidRPr="003751EA">
        <w:rPr>
          <w:i/>
        </w:rPr>
        <w:t>Tymovirales</w:t>
      </w:r>
      <w:r>
        <w:t xml:space="preserve">, but this has not been verified. Phylogenetic analysis presented by the authors shows the replication polyprotein as a distinct branch between members of the </w:t>
      </w:r>
      <w:r w:rsidRPr="003751EA">
        <w:rPr>
          <w:i/>
        </w:rPr>
        <w:t>Gammaflexiviridae</w:t>
      </w:r>
      <w:r>
        <w:t xml:space="preserve"> and </w:t>
      </w:r>
      <w:r w:rsidRPr="003751EA">
        <w:rPr>
          <w:i/>
        </w:rPr>
        <w:t>Tymoviridae</w:t>
      </w:r>
      <w:r>
        <w:t xml:space="preserve"> but with low (53%) bootstrap support.</w:t>
      </w:r>
    </w:p>
    <w:p w14:paraId="1337AF8A" w14:textId="77777777" w:rsidR="008F21F3" w:rsidRPr="006F171F" w:rsidRDefault="008F21F3" w:rsidP="008F21F3">
      <w:pPr>
        <w:rPr>
          <w:color w:val="222222"/>
          <w:shd w:val="clear" w:color="auto" w:fill="FFFFFF"/>
        </w:rPr>
      </w:pPr>
    </w:p>
    <w:p w14:paraId="5A560F35" w14:textId="77777777" w:rsidR="008F21F3" w:rsidRPr="0056024B" w:rsidRDefault="008F21F3" w:rsidP="008F21F3">
      <w:pPr>
        <w:rPr>
          <w:b/>
          <w:color w:val="222222"/>
          <w:shd w:val="clear" w:color="auto" w:fill="FFFFFF"/>
        </w:rPr>
      </w:pPr>
      <w:r w:rsidRPr="0056024B">
        <w:rPr>
          <w:b/>
          <w:color w:val="222222"/>
          <w:shd w:val="clear" w:color="auto" w:fill="FFFFFF"/>
        </w:rPr>
        <w:t>Fusarium graminearum deltaflexivirus 1</w:t>
      </w:r>
      <w:r>
        <w:rPr>
          <w:b/>
          <w:color w:val="222222"/>
          <w:shd w:val="clear" w:color="auto" w:fill="FFFFFF"/>
        </w:rPr>
        <w:t xml:space="preserve"> (</w:t>
      </w:r>
      <w:bookmarkStart w:id="6" w:name="OLE_LINK9"/>
      <w:r>
        <w:rPr>
          <w:b/>
          <w:color w:val="222222"/>
          <w:shd w:val="clear" w:color="auto" w:fill="FFFFFF"/>
        </w:rPr>
        <w:t>FgDFV1</w:t>
      </w:r>
      <w:bookmarkEnd w:id="6"/>
      <w:r>
        <w:rPr>
          <w:b/>
          <w:color w:val="222222"/>
          <w:shd w:val="clear" w:color="auto" w:fill="FFFFFF"/>
        </w:rPr>
        <w:t>)</w:t>
      </w:r>
      <w:r w:rsidRPr="0056024B">
        <w:rPr>
          <w:b/>
          <w:color w:val="222222"/>
          <w:shd w:val="clear" w:color="auto" w:fill="FFFFFF"/>
        </w:rPr>
        <w:t xml:space="preserve"> (Chen et al., 2016; </w:t>
      </w:r>
      <w:bookmarkStart w:id="7" w:name="OLE_LINK8"/>
      <w:r w:rsidRPr="0056024B">
        <w:rPr>
          <w:b/>
          <w:color w:val="222222"/>
          <w:shd w:val="clear" w:color="auto" w:fill="FFFFFF"/>
        </w:rPr>
        <w:t>KX015962</w:t>
      </w:r>
      <w:bookmarkEnd w:id="7"/>
      <w:r w:rsidRPr="0056024B">
        <w:rPr>
          <w:b/>
          <w:color w:val="222222"/>
          <w:shd w:val="clear" w:color="auto" w:fill="FFFFFF"/>
        </w:rPr>
        <w:t>)</w:t>
      </w:r>
    </w:p>
    <w:p w14:paraId="3292486F" w14:textId="042B2317" w:rsidR="008F21F3" w:rsidRPr="00B05311" w:rsidRDefault="008F21F3" w:rsidP="008F21F3">
      <w:pPr>
        <w:rPr>
          <w:color w:val="222222"/>
          <w:shd w:val="clear" w:color="auto" w:fill="FFFFFF"/>
        </w:rPr>
      </w:pPr>
      <w:r>
        <w:rPr>
          <w:color w:val="222222"/>
          <w:shd w:val="clear" w:color="auto" w:fill="FFFFFF"/>
        </w:rPr>
        <w:t xml:space="preserve">Double-stranded RNA was extracted from an isolate of the plant pathogen, </w:t>
      </w:r>
      <w:r w:rsidRPr="007A5E6B">
        <w:rPr>
          <w:i/>
          <w:color w:val="222222"/>
          <w:shd w:val="clear" w:color="auto" w:fill="FFFFFF"/>
        </w:rPr>
        <w:t>Fusarium graminearum</w:t>
      </w:r>
      <w:r>
        <w:rPr>
          <w:color w:val="222222"/>
          <w:shd w:val="clear" w:color="auto" w:fill="FFFFFF"/>
        </w:rPr>
        <w:t xml:space="preserve"> and a band of ~8 kb was identified in PAGE. After purification, this was used as a template for RT-PCR using random primers and further RT-PCR and RACE steps were used to amplify and then assemble a virus sequence of 8246 nt excluding the polyA tail. Five putative ORFs were identified (Figure 1), the </w:t>
      </w:r>
      <w:r w:rsidRPr="00B05311">
        <w:rPr>
          <w:color w:val="222222"/>
          <w:shd w:val="clear" w:color="auto" w:fill="FFFFFF"/>
        </w:rPr>
        <w:t xml:space="preserve">largest </w:t>
      </w:r>
      <w:r>
        <w:rPr>
          <w:color w:val="222222"/>
          <w:shd w:val="clear" w:color="auto" w:fill="FFFFFF"/>
        </w:rPr>
        <w:t>of which</w:t>
      </w:r>
      <w:r w:rsidRPr="00B05311">
        <w:rPr>
          <w:color w:val="222222"/>
          <w:shd w:val="clear" w:color="auto" w:fill="FFFFFF"/>
        </w:rPr>
        <w:t xml:space="preserve"> (ORF1: nt 36-6164</w:t>
      </w:r>
      <w:r>
        <w:rPr>
          <w:color w:val="222222"/>
          <w:shd w:val="clear" w:color="auto" w:fill="FFFFFF"/>
        </w:rPr>
        <w:t>) encoded a putative alpha-like replication polyprotein (</w:t>
      </w:r>
      <w:r w:rsidRPr="00B05311">
        <w:rPr>
          <w:color w:val="222222"/>
          <w:shd w:val="clear" w:color="auto" w:fill="FFFFFF"/>
        </w:rPr>
        <w:t>2042 aa</w:t>
      </w:r>
      <w:r>
        <w:rPr>
          <w:color w:val="222222"/>
          <w:shd w:val="clear" w:color="auto" w:fill="FFFFFF"/>
        </w:rPr>
        <w:t>;</w:t>
      </w:r>
      <w:r w:rsidRPr="00B05311">
        <w:rPr>
          <w:color w:val="222222"/>
          <w:shd w:val="clear" w:color="auto" w:fill="FFFFFF"/>
        </w:rPr>
        <w:t xml:space="preserve"> 227 kDa</w:t>
      </w:r>
      <w:r>
        <w:rPr>
          <w:color w:val="222222"/>
          <w:shd w:val="clear" w:color="auto" w:fill="FFFFFF"/>
        </w:rPr>
        <w:t>)</w:t>
      </w:r>
      <w:r w:rsidRPr="00B05311">
        <w:rPr>
          <w:color w:val="222222"/>
          <w:shd w:val="clear" w:color="auto" w:fill="FFFFFF"/>
        </w:rPr>
        <w:t xml:space="preserve"> </w:t>
      </w:r>
      <w:r>
        <w:rPr>
          <w:color w:val="222222"/>
          <w:shd w:val="clear" w:color="auto" w:fill="FFFFFF"/>
        </w:rPr>
        <w:t xml:space="preserve">which had </w:t>
      </w:r>
      <w:r w:rsidRPr="00B05311">
        <w:rPr>
          <w:color w:val="222222"/>
          <w:shd w:val="clear" w:color="auto" w:fill="FFFFFF"/>
        </w:rPr>
        <w:t>48%</w:t>
      </w:r>
      <w:r>
        <w:rPr>
          <w:color w:val="222222"/>
          <w:shd w:val="clear" w:color="auto" w:fill="FFFFFF"/>
        </w:rPr>
        <w:t xml:space="preserve"> aa identity to that predicted for SsDFV</w:t>
      </w:r>
      <w:r w:rsidRPr="00B05311">
        <w:rPr>
          <w:color w:val="222222"/>
          <w:shd w:val="clear" w:color="auto" w:fill="FFFFFF"/>
        </w:rPr>
        <w:t>1</w:t>
      </w:r>
      <w:r>
        <w:rPr>
          <w:color w:val="222222"/>
          <w:shd w:val="clear" w:color="auto" w:fill="FFFFFF"/>
        </w:rPr>
        <w:t xml:space="preserve">. </w:t>
      </w:r>
      <w:r w:rsidRPr="00D7423E">
        <w:rPr>
          <w:color w:val="222222"/>
          <w:shd w:val="clear" w:color="auto" w:fill="FFFFFF"/>
        </w:rPr>
        <w:t>ORF2 had 41% identity</w:t>
      </w:r>
      <w:r>
        <w:rPr>
          <w:color w:val="222222"/>
          <w:shd w:val="clear" w:color="auto" w:fill="FFFFFF"/>
        </w:rPr>
        <w:t xml:space="preserve"> to the predicted ORF3 of </w:t>
      </w:r>
      <w:r w:rsidRPr="00D7423E">
        <w:rPr>
          <w:color w:val="222222"/>
          <w:shd w:val="clear" w:color="auto" w:fill="FFFFFF"/>
        </w:rPr>
        <w:t>SlaM</w:t>
      </w:r>
      <w:r w:rsidR="00494F5D">
        <w:rPr>
          <w:color w:val="222222"/>
          <w:shd w:val="clear" w:color="auto" w:fill="FFFFFF"/>
        </w:rPr>
        <w:t>F</w:t>
      </w:r>
      <w:r w:rsidRPr="00D7423E">
        <w:rPr>
          <w:color w:val="222222"/>
          <w:shd w:val="clear" w:color="auto" w:fill="FFFFFF"/>
        </w:rPr>
        <w:t>V1</w:t>
      </w:r>
      <w:r>
        <w:rPr>
          <w:color w:val="222222"/>
          <w:shd w:val="clear" w:color="auto" w:fill="FFFFFF"/>
        </w:rPr>
        <w:t xml:space="preserve"> but there were no other similarities between the sequences of the smaller ORFs and other sequences in GenBank. A phylogenetic tree presented by the authors </w:t>
      </w:r>
      <w:r>
        <w:t xml:space="preserve">(rooted with a member of the family </w:t>
      </w:r>
      <w:r w:rsidRPr="00D069E9">
        <w:rPr>
          <w:i/>
        </w:rPr>
        <w:t>Hypoviridae</w:t>
      </w:r>
      <w:r>
        <w:t>)</w:t>
      </w:r>
      <w:r>
        <w:rPr>
          <w:color w:val="222222"/>
          <w:shd w:val="clear" w:color="auto" w:fill="FFFFFF"/>
        </w:rPr>
        <w:t xml:space="preserve"> shows FgDFV1 grouping with SsDFV1 and </w:t>
      </w:r>
      <w:r w:rsidRPr="009C3CE0">
        <w:rPr>
          <w:color w:val="222222"/>
          <w:shd w:val="clear" w:color="auto" w:fill="FFFFFF"/>
        </w:rPr>
        <w:t>SlaM</w:t>
      </w:r>
      <w:r w:rsidR="00494F5D">
        <w:rPr>
          <w:color w:val="222222"/>
          <w:shd w:val="clear" w:color="auto" w:fill="FFFFFF"/>
        </w:rPr>
        <w:t>F</w:t>
      </w:r>
      <w:r w:rsidRPr="009C3CE0">
        <w:rPr>
          <w:color w:val="222222"/>
          <w:shd w:val="clear" w:color="auto" w:fill="FFFFFF"/>
        </w:rPr>
        <w:t>V1</w:t>
      </w:r>
      <w:r>
        <w:rPr>
          <w:color w:val="222222"/>
          <w:shd w:val="clear" w:color="auto" w:fill="FFFFFF"/>
        </w:rPr>
        <w:t xml:space="preserve"> but </w:t>
      </w:r>
      <w:r w:rsidR="007A3CA5">
        <w:rPr>
          <w:color w:val="222222"/>
          <w:shd w:val="clear" w:color="auto" w:fill="FFFFFF"/>
        </w:rPr>
        <w:t xml:space="preserve">not with isolates of </w:t>
      </w:r>
      <w:r w:rsidR="007279B1">
        <w:rPr>
          <w:color w:val="222222"/>
          <w:shd w:val="clear" w:color="auto" w:fill="FFFFFF"/>
        </w:rPr>
        <w:t xml:space="preserve">any other </w:t>
      </w:r>
      <w:r w:rsidR="007A3CA5">
        <w:rPr>
          <w:color w:val="222222"/>
          <w:shd w:val="clear" w:color="auto" w:fill="FFFFFF"/>
        </w:rPr>
        <w:t>currently accepted species within</w:t>
      </w:r>
      <w:r w:rsidR="002C4101">
        <w:rPr>
          <w:color w:val="222222"/>
          <w:shd w:val="clear" w:color="auto" w:fill="FFFFFF"/>
        </w:rPr>
        <w:t xml:space="preserve"> </w:t>
      </w:r>
      <w:r w:rsidR="007A3CA5">
        <w:rPr>
          <w:color w:val="222222"/>
          <w:shd w:val="clear" w:color="auto" w:fill="FFFFFF"/>
        </w:rPr>
        <w:t>the</w:t>
      </w:r>
      <w:r>
        <w:rPr>
          <w:color w:val="222222"/>
          <w:shd w:val="clear" w:color="auto" w:fill="FFFFFF"/>
        </w:rPr>
        <w:t xml:space="preserve"> order </w:t>
      </w:r>
      <w:r w:rsidRPr="009C3CE0">
        <w:rPr>
          <w:i/>
          <w:color w:val="222222"/>
          <w:shd w:val="clear" w:color="auto" w:fill="FFFFFF"/>
        </w:rPr>
        <w:t>Tymovirales</w:t>
      </w:r>
      <w:r>
        <w:rPr>
          <w:color w:val="222222"/>
          <w:shd w:val="clear" w:color="auto" w:fill="FFFFFF"/>
        </w:rPr>
        <w:t>.</w:t>
      </w:r>
    </w:p>
    <w:p w14:paraId="30F19E8B" w14:textId="77777777" w:rsidR="008F21F3" w:rsidRDefault="008F21F3" w:rsidP="008F21F3">
      <w:pPr>
        <w:rPr>
          <w:color w:val="222222"/>
          <w:shd w:val="clear" w:color="auto" w:fill="FFFFFF"/>
        </w:rPr>
      </w:pPr>
    </w:p>
    <w:p w14:paraId="405C1AA1" w14:textId="77777777" w:rsidR="008F21F3" w:rsidRPr="00CB14CB" w:rsidRDefault="008F21F3" w:rsidP="008F21F3">
      <w:pPr>
        <w:rPr>
          <w:b/>
          <w:color w:val="222222"/>
          <w:shd w:val="clear" w:color="auto" w:fill="FFFFFF"/>
        </w:rPr>
      </w:pPr>
      <w:r w:rsidRPr="00CB14CB">
        <w:rPr>
          <w:b/>
          <w:color w:val="222222"/>
          <w:shd w:val="clear" w:color="auto" w:fill="FFFFFF"/>
        </w:rPr>
        <w:t>Evaluation</w:t>
      </w:r>
    </w:p>
    <w:p w14:paraId="28766E0D" w14:textId="2C694CC2" w:rsidR="008F21F3" w:rsidRDefault="008F21F3" w:rsidP="008F21F3">
      <w:pPr>
        <w:rPr>
          <w:color w:val="222222"/>
          <w:shd w:val="clear" w:color="auto" w:fill="FFFFFF"/>
        </w:rPr>
      </w:pPr>
      <w:r>
        <w:rPr>
          <w:color w:val="222222"/>
          <w:shd w:val="clear" w:color="auto" w:fill="FFFFFF"/>
        </w:rPr>
        <w:t>These three viruses have replication polyproteins of the alpha supergroup that are clearly related to one another. SsDFV</w:t>
      </w:r>
      <w:r w:rsidRPr="00B05311">
        <w:rPr>
          <w:color w:val="222222"/>
          <w:shd w:val="clear" w:color="auto" w:fill="FFFFFF"/>
        </w:rPr>
        <w:t>1</w:t>
      </w:r>
      <w:r>
        <w:rPr>
          <w:color w:val="222222"/>
          <w:shd w:val="clear" w:color="auto" w:fill="FFFFFF"/>
        </w:rPr>
        <w:t xml:space="preserve"> and </w:t>
      </w:r>
      <w:r w:rsidRPr="00CB14CB">
        <w:rPr>
          <w:color w:val="222222"/>
          <w:shd w:val="clear" w:color="auto" w:fill="FFFFFF"/>
        </w:rPr>
        <w:t>SlaM</w:t>
      </w:r>
      <w:r w:rsidR="00494F5D">
        <w:rPr>
          <w:color w:val="222222"/>
          <w:shd w:val="clear" w:color="auto" w:fill="FFFFFF"/>
        </w:rPr>
        <w:t>F</w:t>
      </w:r>
      <w:r w:rsidRPr="00CB14CB">
        <w:rPr>
          <w:color w:val="222222"/>
          <w:shd w:val="clear" w:color="auto" w:fill="FFFFFF"/>
        </w:rPr>
        <w:t>V1</w:t>
      </w:r>
      <w:r>
        <w:rPr>
          <w:color w:val="222222"/>
          <w:shd w:val="clear" w:color="auto" w:fill="FFFFFF"/>
        </w:rPr>
        <w:t xml:space="preserve"> have 69% identical amino acids and other comparisons (SsDFV1 or SlaM</w:t>
      </w:r>
      <w:r w:rsidR="00494F5D">
        <w:rPr>
          <w:color w:val="222222"/>
          <w:shd w:val="clear" w:color="auto" w:fill="FFFFFF"/>
        </w:rPr>
        <w:t>F</w:t>
      </w:r>
      <w:r>
        <w:rPr>
          <w:color w:val="222222"/>
          <w:shd w:val="clear" w:color="auto" w:fill="FFFFFF"/>
        </w:rPr>
        <w:t xml:space="preserve">V1 with FgDFV1) are in the region of 47% identity. It is not known if the other predicted ORFs are expressed and they have no homologies to known proteins but there are similarities between </w:t>
      </w:r>
      <w:r w:rsidRPr="00D7423E">
        <w:rPr>
          <w:color w:val="222222"/>
          <w:shd w:val="clear" w:color="auto" w:fill="FFFFFF"/>
        </w:rPr>
        <w:t xml:space="preserve">ORF2 </w:t>
      </w:r>
      <w:r>
        <w:rPr>
          <w:color w:val="222222"/>
          <w:shd w:val="clear" w:color="auto" w:fill="FFFFFF"/>
        </w:rPr>
        <w:t xml:space="preserve">of FgDFV1 and ORF3 of </w:t>
      </w:r>
      <w:r w:rsidRPr="00D7423E">
        <w:rPr>
          <w:color w:val="222222"/>
          <w:shd w:val="clear" w:color="auto" w:fill="FFFFFF"/>
        </w:rPr>
        <w:t>SlaM</w:t>
      </w:r>
      <w:r w:rsidR="00494F5D">
        <w:rPr>
          <w:color w:val="222222"/>
          <w:shd w:val="clear" w:color="auto" w:fill="FFFFFF"/>
        </w:rPr>
        <w:t>F</w:t>
      </w:r>
      <w:r w:rsidRPr="00D7423E">
        <w:rPr>
          <w:color w:val="222222"/>
          <w:shd w:val="clear" w:color="auto" w:fill="FFFFFF"/>
        </w:rPr>
        <w:t>V1</w:t>
      </w:r>
      <w:r>
        <w:rPr>
          <w:color w:val="222222"/>
          <w:shd w:val="clear" w:color="auto" w:fill="FFFFFF"/>
        </w:rPr>
        <w:t>. These similarities are reflected in robust clustering in phylogenetic analyses (Figure 2) that suggest that these viruses represent three distinct species. Without further evidence of the significance of the smaller ORFs, it seems best to allocate these to a single new genus and a new family is justified by their distance from any other known viruses.</w:t>
      </w:r>
    </w:p>
    <w:p w14:paraId="33706011" w14:textId="4461575E" w:rsidR="00370DDB" w:rsidRDefault="00714370" w:rsidP="008F21F3">
      <w:pPr>
        <w:rPr>
          <w:color w:val="222222"/>
          <w:shd w:val="clear" w:color="auto" w:fill="FFFFFF"/>
        </w:rPr>
      </w:pPr>
      <w:r>
        <w:rPr>
          <w:color w:val="222222"/>
          <w:shd w:val="clear" w:color="auto" w:fill="FFFFFF"/>
        </w:rPr>
        <w:tab/>
      </w:r>
      <w:r w:rsidR="008F21F3">
        <w:rPr>
          <w:color w:val="222222"/>
          <w:shd w:val="clear" w:color="auto" w:fill="FFFFFF"/>
        </w:rPr>
        <w:t xml:space="preserve">The relationship with established members of the order </w:t>
      </w:r>
      <w:r w:rsidR="008F21F3" w:rsidRPr="00B00204">
        <w:rPr>
          <w:i/>
          <w:color w:val="222222"/>
          <w:shd w:val="clear" w:color="auto" w:fill="FFFFFF"/>
        </w:rPr>
        <w:t>Tymovirales</w:t>
      </w:r>
      <w:r w:rsidR="008F21F3">
        <w:rPr>
          <w:color w:val="222222"/>
          <w:shd w:val="clear" w:color="auto" w:fill="FFFFFF"/>
        </w:rPr>
        <w:t xml:space="preserve"> is distant but there is good bootstrap support for a distant grouping with the </w:t>
      </w:r>
      <w:r w:rsidR="00ED0F94">
        <w:rPr>
          <w:color w:val="222222"/>
          <w:shd w:val="clear" w:color="auto" w:fill="FFFFFF"/>
        </w:rPr>
        <w:t xml:space="preserve">sole </w:t>
      </w:r>
      <w:r w:rsidR="008F21F3">
        <w:rPr>
          <w:color w:val="222222"/>
          <w:shd w:val="clear" w:color="auto" w:fill="FFFFFF"/>
        </w:rPr>
        <w:t xml:space="preserve">current member of the family </w:t>
      </w:r>
      <w:r w:rsidR="008F21F3" w:rsidRPr="004404F5">
        <w:rPr>
          <w:i/>
          <w:color w:val="222222"/>
          <w:shd w:val="clear" w:color="auto" w:fill="FFFFFF"/>
        </w:rPr>
        <w:t>Gammaflexiviridae</w:t>
      </w:r>
      <w:r w:rsidR="008F21F3">
        <w:rPr>
          <w:color w:val="222222"/>
          <w:shd w:val="clear" w:color="auto" w:fill="FFFFFF"/>
        </w:rPr>
        <w:t xml:space="preserve"> (Figure 2). This proposal therefore accepts the case for a further family in the order, with the name </w:t>
      </w:r>
      <w:r w:rsidR="008F21F3" w:rsidRPr="000178CA">
        <w:rPr>
          <w:i/>
          <w:color w:val="222222"/>
          <w:shd w:val="clear" w:color="auto" w:fill="FFFFFF"/>
        </w:rPr>
        <w:t>Deltaflexivir</w:t>
      </w:r>
      <w:r w:rsidR="001F2102">
        <w:rPr>
          <w:i/>
          <w:color w:val="222222"/>
          <w:shd w:val="clear" w:color="auto" w:fill="FFFFFF"/>
        </w:rPr>
        <w:t>i</w:t>
      </w:r>
      <w:r w:rsidR="008F21F3" w:rsidRPr="000178CA">
        <w:rPr>
          <w:i/>
          <w:color w:val="222222"/>
          <w:shd w:val="clear" w:color="auto" w:fill="FFFFFF"/>
        </w:rPr>
        <w:t>dae</w:t>
      </w:r>
      <w:r>
        <w:rPr>
          <w:color w:val="222222"/>
          <w:shd w:val="clear" w:color="auto" w:fill="FFFFFF"/>
        </w:rPr>
        <w:t xml:space="preserve"> and consisting of a single genus.</w:t>
      </w:r>
    </w:p>
    <w:p w14:paraId="681744D1" w14:textId="77777777" w:rsidR="00370DDB" w:rsidRDefault="00370DDB" w:rsidP="008F21F3">
      <w:pPr>
        <w:rPr>
          <w:color w:val="222222"/>
          <w:shd w:val="clear" w:color="auto" w:fill="FFFFFF"/>
        </w:rPr>
      </w:pPr>
    </w:p>
    <w:p w14:paraId="67C9224F" w14:textId="7903CD72" w:rsidR="008F21F3" w:rsidRDefault="00370DDB" w:rsidP="008F21F3">
      <w:pPr>
        <w:rPr>
          <w:color w:val="222222"/>
          <w:shd w:val="clear" w:color="auto" w:fill="FFFFFF"/>
        </w:rPr>
      </w:pPr>
      <w:r w:rsidRPr="00370DDB">
        <w:rPr>
          <w:b/>
          <w:i/>
          <w:color w:val="222222"/>
          <w:shd w:val="clear" w:color="auto" w:fill="FFFFFF"/>
        </w:rPr>
        <w:t>Species names:</w:t>
      </w:r>
      <w:r>
        <w:rPr>
          <w:color w:val="222222"/>
          <w:shd w:val="clear" w:color="auto" w:fill="FFFFFF"/>
        </w:rPr>
        <w:t xml:space="preserve"> The names proposed </w:t>
      </w:r>
      <w:r w:rsidR="008F21F3">
        <w:rPr>
          <w:color w:val="222222"/>
          <w:shd w:val="clear" w:color="auto" w:fill="FFFFFF"/>
        </w:rPr>
        <w:t xml:space="preserve">reflect the virus names already published to maintain continuity with the literature, while </w:t>
      </w:r>
      <w:r w:rsidR="007A3CA5">
        <w:rPr>
          <w:color w:val="222222"/>
          <w:shd w:val="clear" w:color="auto" w:fill="FFFFFF"/>
        </w:rPr>
        <w:t xml:space="preserve">recognizing </w:t>
      </w:r>
      <w:r w:rsidR="008F21F3">
        <w:rPr>
          <w:color w:val="222222"/>
          <w:shd w:val="clear" w:color="auto" w:fill="FFFFFF"/>
        </w:rPr>
        <w:t>that there is little evidence that these have the type of virions characteristic of the plant-infecting flexiviruses.</w:t>
      </w:r>
      <w:r>
        <w:rPr>
          <w:color w:val="222222"/>
          <w:shd w:val="clear" w:color="auto" w:fill="FFFFFF"/>
        </w:rPr>
        <w:t xml:space="preserve"> However, there are some simplifications:</w:t>
      </w:r>
    </w:p>
    <w:p w14:paraId="45332C3F" w14:textId="77777777" w:rsidR="00370DDB" w:rsidRDefault="00370DDB" w:rsidP="008F21F3">
      <w:pPr>
        <w:rPr>
          <w:color w:val="222222"/>
          <w:shd w:val="clear" w:color="auto" w:fill="FFFFFF"/>
        </w:rPr>
      </w:pPr>
    </w:p>
    <w:tbl>
      <w:tblPr>
        <w:tblStyle w:val="TableGrid"/>
        <w:tblW w:w="9045" w:type="dxa"/>
        <w:tblLook w:val="04A0" w:firstRow="1" w:lastRow="0" w:firstColumn="1" w:lastColumn="0" w:noHBand="0" w:noVBand="1"/>
      </w:tblPr>
      <w:tblGrid>
        <w:gridCol w:w="4405"/>
        <w:gridCol w:w="3870"/>
        <w:gridCol w:w="770"/>
      </w:tblGrid>
      <w:tr w:rsidR="00714370" w14:paraId="033740FA" w14:textId="03D4BCF1" w:rsidTr="00714370">
        <w:tc>
          <w:tcPr>
            <w:tcW w:w="4405" w:type="dxa"/>
          </w:tcPr>
          <w:p w14:paraId="707FB2EA" w14:textId="56F29E9C" w:rsidR="00714370" w:rsidRPr="00370DDB" w:rsidRDefault="00714370" w:rsidP="008F21F3">
            <w:pPr>
              <w:rPr>
                <w:b/>
                <w:color w:val="222222"/>
                <w:shd w:val="clear" w:color="auto" w:fill="FFFFFF"/>
              </w:rPr>
            </w:pPr>
            <w:r w:rsidRPr="00370DDB">
              <w:rPr>
                <w:b/>
                <w:color w:val="222222"/>
                <w:shd w:val="clear" w:color="auto" w:fill="FFFFFF"/>
              </w:rPr>
              <w:t>Published virus name</w:t>
            </w:r>
          </w:p>
        </w:tc>
        <w:tc>
          <w:tcPr>
            <w:tcW w:w="3870" w:type="dxa"/>
          </w:tcPr>
          <w:p w14:paraId="6DFFA3AE" w14:textId="02877950" w:rsidR="00714370" w:rsidRPr="00370DDB" w:rsidRDefault="00714370" w:rsidP="008F21F3">
            <w:pPr>
              <w:rPr>
                <w:b/>
                <w:color w:val="222222"/>
                <w:shd w:val="clear" w:color="auto" w:fill="FFFFFF"/>
              </w:rPr>
            </w:pPr>
            <w:r w:rsidRPr="00370DDB">
              <w:rPr>
                <w:b/>
                <w:color w:val="222222"/>
                <w:shd w:val="clear" w:color="auto" w:fill="FFFFFF"/>
              </w:rPr>
              <w:t>Species name proposed</w:t>
            </w:r>
          </w:p>
        </w:tc>
        <w:tc>
          <w:tcPr>
            <w:tcW w:w="770" w:type="dxa"/>
          </w:tcPr>
          <w:p w14:paraId="136115B0" w14:textId="1BAB9B58" w:rsidR="00714370" w:rsidRPr="00370DDB" w:rsidRDefault="00714370" w:rsidP="00714370">
            <w:pPr>
              <w:jc w:val="center"/>
              <w:rPr>
                <w:b/>
                <w:color w:val="222222"/>
                <w:shd w:val="clear" w:color="auto" w:fill="FFFFFF"/>
              </w:rPr>
            </w:pPr>
            <w:r>
              <w:rPr>
                <w:b/>
                <w:color w:val="222222"/>
                <w:shd w:val="clear" w:color="auto" w:fill="FFFFFF"/>
              </w:rPr>
              <w:t>Note</w:t>
            </w:r>
          </w:p>
        </w:tc>
      </w:tr>
      <w:tr w:rsidR="00714370" w14:paraId="34798717" w14:textId="0E89B3E4" w:rsidTr="00714370">
        <w:tc>
          <w:tcPr>
            <w:tcW w:w="4405" w:type="dxa"/>
          </w:tcPr>
          <w:p w14:paraId="79C4668C" w14:textId="79143E7D" w:rsidR="00714370" w:rsidRDefault="00714370" w:rsidP="008F21F3">
            <w:pPr>
              <w:rPr>
                <w:color w:val="222222"/>
                <w:shd w:val="clear" w:color="auto" w:fill="FFFFFF"/>
              </w:rPr>
            </w:pPr>
            <w:r w:rsidRPr="00370DDB">
              <w:rPr>
                <w:color w:val="222222"/>
                <w:shd w:val="clear" w:color="auto" w:fill="FFFFFF"/>
              </w:rPr>
              <w:t>Sclerotinia sclerotiorum deltaflexivirus 1</w:t>
            </w:r>
          </w:p>
        </w:tc>
        <w:tc>
          <w:tcPr>
            <w:tcW w:w="3870" w:type="dxa"/>
          </w:tcPr>
          <w:p w14:paraId="7E9EFDBF" w14:textId="095191B7" w:rsidR="00714370" w:rsidRPr="00714370" w:rsidRDefault="00714370" w:rsidP="008F21F3">
            <w:pPr>
              <w:rPr>
                <w:i/>
                <w:color w:val="222222"/>
                <w:shd w:val="clear" w:color="auto" w:fill="FFFFFF"/>
              </w:rPr>
            </w:pPr>
            <w:r w:rsidRPr="00714370">
              <w:rPr>
                <w:i/>
                <w:color w:val="222222"/>
                <w:shd w:val="clear" w:color="auto" w:fill="FFFFFF"/>
              </w:rPr>
              <w:t>Sclerotinia deltaflexivirus 1</w:t>
            </w:r>
          </w:p>
        </w:tc>
        <w:tc>
          <w:tcPr>
            <w:tcW w:w="770" w:type="dxa"/>
          </w:tcPr>
          <w:p w14:paraId="53C6F916" w14:textId="7590C601" w:rsidR="00714370" w:rsidRPr="00714370" w:rsidRDefault="00714370" w:rsidP="00714370">
            <w:pPr>
              <w:jc w:val="center"/>
              <w:rPr>
                <w:color w:val="222222"/>
                <w:shd w:val="clear" w:color="auto" w:fill="FFFFFF"/>
              </w:rPr>
            </w:pPr>
            <w:r>
              <w:rPr>
                <w:color w:val="222222"/>
                <w:shd w:val="clear" w:color="auto" w:fill="FFFFFF"/>
              </w:rPr>
              <w:t>1</w:t>
            </w:r>
          </w:p>
        </w:tc>
      </w:tr>
      <w:tr w:rsidR="00714370" w14:paraId="24080463" w14:textId="134E90DE" w:rsidTr="00714370">
        <w:tc>
          <w:tcPr>
            <w:tcW w:w="4405" w:type="dxa"/>
          </w:tcPr>
          <w:p w14:paraId="35405D31" w14:textId="11024B44" w:rsidR="00714370" w:rsidRDefault="00781A11" w:rsidP="008F21F3">
            <w:pPr>
              <w:rPr>
                <w:color w:val="222222"/>
                <w:shd w:val="clear" w:color="auto" w:fill="FFFFFF"/>
              </w:rPr>
            </w:pPr>
            <w:r>
              <w:rPr>
                <w:color w:val="222222"/>
                <w:shd w:val="clear" w:color="auto" w:fill="FFFFFF"/>
              </w:rPr>
              <w:t>s</w:t>
            </w:r>
            <w:r w:rsidR="00714370" w:rsidRPr="00370DDB">
              <w:rPr>
                <w:color w:val="222222"/>
                <w:shd w:val="clear" w:color="auto" w:fill="FFFFFF"/>
              </w:rPr>
              <w:t>oybean leaf-associated mycoflexivirus 1</w:t>
            </w:r>
          </w:p>
        </w:tc>
        <w:tc>
          <w:tcPr>
            <w:tcW w:w="3870" w:type="dxa"/>
          </w:tcPr>
          <w:p w14:paraId="0143E07E" w14:textId="2227E0F7" w:rsidR="00714370" w:rsidRPr="00714370" w:rsidRDefault="00714370" w:rsidP="008F21F3">
            <w:pPr>
              <w:rPr>
                <w:i/>
                <w:color w:val="222222"/>
                <w:shd w:val="clear" w:color="auto" w:fill="FFFFFF"/>
              </w:rPr>
            </w:pPr>
            <w:r w:rsidRPr="00714370">
              <w:rPr>
                <w:i/>
                <w:color w:val="222222"/>
                <w:shd w:val="clear" w:color="auto" w:fill="FFFFFF"/>
              </w:rPr>
              <w:t>Soybean-associated deltaflexivirus 1</w:t>
            </w:r>
          </w:p>
        </w:tc>
        <w:tc>
          <w:tcPr>
            <w:tcW w:w="770" w:type="dxa"/>
          </w:tcPr>
          <w:p w14:paraId="48186040" w14:textId="5D7CAC4B" w:rsidR="00714370" w:rsidRPr="00714370" w:rsidRDefault="00714370" w:rsidP="00714370">
            <w:pPr>
              <w:jc w:val="center"/>
              <w:rPr>
                <w:color w:val="222222"/>
                <w:shd w:val="clear" w:color="auto" w:fill="FFFFFF"/>
              </w:rPr>
            </w:pPr>
            <w:r>
              <w:rPr>
                <w:color w:val="222222"/>
                <w:shd w:val="clear" w:color="auto" w:fill="FFFFFF"/>
              </w:rPr>
              <w:t>2</w:t>
            </w:r>
          </w:p>
        </w:tc>
      </w:tr>
      <w:tr w:rsidR="00714370" w14:paraId="019F8B00" w14:textId="6A315BA7" w:rsidTr="00714370">
        <w:tc>
          <w:tcPr>
            <w:tcW w:w="4405" w:type="dxa"/>
          </w:tcPr>
          <w:p w14:paraId="629D0FCC" w14:textId="3F5A3D64" w:rsidR="00714370" w:rsidRDefault="00714370" w:rsidP="008F21F3">
            <w:pPr>
              <w:rPr>
                <w:color w:val="222222"/>
                <w:shd w:val="clear" w:color="auto" w:fill="FFFFFF"/>
              </w:rPr>
            </w:pPr>
            <w:r w:rsidRPr="00370DDB">
              <w:rPr>
                <w:color w:val="222222"/>
                <w:shd w:val="clear" w:color="auto" w:fill="FFFFFF"/>
              </w:rPr>
              <w:t>Fusarium graminearum deltaflexivirus 1</w:t>
            </w:r>
          </w:p>
        </w:tc>
        <w:tc>
          <w:tcPr>
            <w:tcW w:w="3870" w:type="dxa"/>
          </w:tcPr>
          <w:p w14:paraId="3E73F58A" w14:textId="2FD507C7" w:rsidR="00714370" w:rsidRPr="00714370" w:rsidRDefault="00714370" w:rsidP="008F21F3">
            <w:pPr>
              <w:rPr>
                <w:i/>
                <w:color w:val="222222"/>
                <w:shd w:val="clear" w:color="auto" w:fill="FFFFFF"/>
              </w:rPr>
            </w:pPr>
            <w:r w:rsidRPr="00714370">
              <w:rPr>
                <w:i/>
                <w:color w:val="222222"/>
                <w:shd w:val="clear" w:color="auto" w:fill="FFFFFF"/>
              </w:rPr>
              <w:t>Fusarium deltaflexivirus 1</w:t>
            </w:r>
          </w:p>
        </w:tc>
        <w:tc>
          <w:tcPr>
            <w:tcW w:w="770" w:type="dxa"/>
          </w:tcPr>
          <w:p w14:paraId="0295FECC" w14:textId="506A2202" w:rsidR="00714370" w:rsidRPr="00714370" w:rsidRDefault="00714370" w:rsidP="00714370">
            <w:pPr>
              <w:jc w:val="center"/>
              <w:rPr>
                <w:color w:val="222222"/>
                <w:shd w:val="clear" w:color="auto" w:fill="FFFFFF"/>
              </w:rPr>
            </w:pPr>
            <w:r>
              <w:rPr>
                <w:color w:val="222222"/>
                <w:shd w:val="clear" w:color="auto" w:fill="FFFFFF"/>
              </w:rPr>
              <w:t>1</w:t>
            </w:r>
          </w:p>
        </w:tc>
      </w:tr>
    </w:tbl>
    <w:p w14:paraId="2A362DE8" w14:textId="77777777" w:rsidR="008F21F3" w:rsidRPr="00714370" w:rsidRDefault="008F21F3" w:rsidP="008F21F3">
      <w:pPr>
        <w:rPr>
          <w:color w:val="222222"/>
          <w:shd w:val="clear" w:color="auto" w:fill="FFFFFF"/>
        </w:rPr>
      </w:pPr>
    </w:p>
    <w:p w14:paraId="6C8E0705" w14:textId="13A5A3D8" w:rsidR="00714370" w:rsidRDefault="00714370" w:rsidP="008F21F3">
      <w:pPr>
        <w:rPr>
          <w:color w:val="222222"/>
          <w:shd w:val="clear" w:color="auto" w:fill="FFFFFF"/>
        </w:rPr>
      </w:pPr>
      <w:r w:rsidRPr="00714370">
        <w:rPr>
          <w:color w:val="222222"/>
          <w:shd w:val="clear" w:color="auto" w:fill="FFFFFF"/>
        </w:rPr>
        <w:t>No</w:t>
      </w:r>
      <w:r>
        <w:rPr>
          <w:color w:val="222222"/>
          <w:shd w:val="clear" w:color="auto" w:fill="FFFFFF"/>
        </w:rPr>
        <w:t>t</w:t>
      </w:r>
      <w:r w:rsidRPr="00714370">
        <w:rPr>
          <w:color w:val="222222"/>
          <w:shd w:val="clear" w:color="auto" w:fill="FFFFFF"/>
        </w:rPr>
        <w:t>e1</w:t>
      </w:r>
      <w:r>
        <w:rPr>
          <w:color w:val="222222"/>
          <w:shd w:val="clear" w:color="auto" w:fill="FFFFFF"/>
        </w:rPr>
        <w:t>: simplified to host genus name</w:t>
      </w:r>
    </w:p>
    <w:p w14:paraId="548B3F5A" w14:textId="412B26D8" w:rsidR="00714370" w:rsidRPr="00714370" w:rsidRDefault="00714370" w:rsidP="008F21F3">
      <w:pPr>
        <w:rPr>
          <w:color w:val="222222"/>
          <w:shd w:val="clear" w:color="auto" w:fill="FFFFFF"/>
        </w:rPr>
      </w:pPr>
      <w:r>
        <w:rPr>
          <w:color w:val="222222"/>
          <w:shd w:val="clear" w:color="auto" w:fill="FFFFFF"/>
        </w:rPr>
        <w:lastRenderedPageBreak/>
        <w:t>Note 2: simplified and modified to reflect new genus name</w:t>
      </w:r>
    </w:p>
    <w:p w14:paraId="112F42D6" w14:textId="77777777" w:rsidR="00AE48E0" w:rsidRDefault="00AE48E0" w:rsidP="008F21F3">
      <w:pPr>
        <w:rPr>
          <w:b/>
          <w:color w:val="222222"/>
          <w:shd w:val="clear" w:color="auto" w:fill="FFFFFF"/>
        </w:rPr>
      </w:pPr>
    </w:p>
    <w:p w14:paraId="7B8BE4C2" w14:textId="0E91F9F7" w:rsidR="008F21F3" w:rsidRDefault="008F21F3" w:rsidP="008F21F3">
      <w:pPr>
        <w:rPr>
          <w:color w:val="222222"/>
          <w:shd w:val="clear" w:color="auto" w:fill="FFFFFF"/>
        </w:rPr>
      </w:pPr>
      <w:r>
        <w:rPr>
          <w:b/>
          <w:color w:val="222222"/>
          <w:shd w:val="clear" w:color="auto" w:fill="FFFFFF"/>
        </w:rPr>
        <w:t>3 new species proposed</w:t>
      </w:r>
      <w:r w:rsidRPr="00185E67">
        <w:rPr>
          <w:b/>
          <w:color w:val="222222"/>
          <w:shd w:val="clear" w:color="auto" w:fill="FFFFFF"/>
        </w:rPr>
        <w:t>:</w:t>
      </w:r>
      <w:r>
        <w:rPr>
          <w:color w:val="222222"/>
          <w:shd w:val="clear" w:color="auto" w:fill="FFFFFF"/>
        </w:rPr>
        <w:t xml:space="preserve"> </w:t>
      </w:r>
      <w:bookmarkStart w:id="8" w:name="OLE_LINK1"/>
      <w:r w:rsidRPr="000178CA">
        <w:rPr>
          <w:i/>
          <w:color w:val="222222"/>
          <w:shd w:val="clear" w:color="auto" w:fill="FFFFFF"/>
        </w:rPr>
        <w:t>Sclerotinia deltaflexivirus 1</w:t>
      </w:r>
      <w:bookmarkEnd w:id="8"/>
      <w:r w:rsidRPr="00185E67">
        <w:rPr>
          <w:i/>
          <w:color w:val="222222"/>
          <w:shd w:val="clear" w:color="auto" w:fill="FFFFFF"/>
        </w:rPr>
        <w:t xml:space="preserve">, </w:t>
      </w:r>
      <w:bookmarkStart w:id="9" w:name="OLE_LINK2"/>
      <w:r w:rsidRPr="000178CA">
        <w:rPr>
          <w:i/>
          <w:color w:val="222222"/>
          <w:shd w:val="clear" w:color="auto" w:fill="FFFFFF"/>
        </w:rPr>
        <w:t xml:space="preserve">Soybean-associated </w:t>
      </w:r>
      <w:r>
        <w:rPr>
          <w:i/>
          <w:color w:val="222222"/>
          <w:shd w:val="clear" w:color="auto" w:fill="FFFFFF"/>
        </w:rPr>
        <w:t>delta</w:t>
      </w:r>
      <w:r w:rsidRPr="000178CA">
        <w:rPr>
          <w:i/>
          <w:color w:val="222222"/>
          <w:shd w:val="clear" w:color="auto" w:fill="FFFFFF"/>
        </w:rPr>
        <w:t>flexivirus 1</w:t>
      </w:r>
      <w:bookmarkEnd w:id="9"/>
      <w:r>
        <w:rPr>
          <w:i/>
          <w:color w:val="222222"/>
          <w:shd w:val="clear" w:color="auto" w:fill="FFFFFF"/>
        </w:rPr>
        <w:t>,</w:t>
      </w:r>
      <w:r w:rsidRPr="000178CA">
        <w:rPr>
          <w:i/>
          <w:color w:val="222222"/>
          <w:shd w:val="clear" w:color="auto" w:fill="FFFFFF"/>
        </w:rPr>
        <w:t xml:space="preserve"> </w:t>
      </w:r>
      <w:bookmarkStart w:id="10" w:name="OLE_LINK3"/>
      <w:r w:rsidRPr="00185E67">
        <w:rPr>
          <w:i/>
          <w:color w:val="222222"/>
          <w:shd w:val="clear" w:color="auto" w:fill="FFFFFF"/>
        </w:rPr>
        <w:t xml:space="preserve">Fusarium </w:t>
      </w:r>
      <w:r>
        <w:rPr>
          <w:i/>
          <w:color w:val="222222"/>
          <w:shd w:val="clear" w:color="auto" w:fill="FFFFFF"/>
        </w:rPr>
        <w:t>deltaflexiv</w:t>
      </w:r>
      <w:r w:rsidRPr="00185E67">
        <w:rPr>
          <w:i/>
          <w:color w:val="222222"/>
          <w:shd w:val="clear" w:color="auto" w:fill="FFFFFF"/>
        </w:rPr>
        <w:t>irus 1</w:t>
      </w:r>
      <w:bookmarkEnd w:id="10"/>
    </w:p>
    <w:p w14:paraId="088C263B" w14:textId="77777777" w:rsidR="00AE48E0" w:rsidRDefault="00AE48E0" w:rsidP="008F21F3">
      <w:pPr>
        <w:rPr>
          <w:b/>
          <w:color w:val="222222"/>
          <w:shd w:val="clear" w:color="auto" w:fill="FFFFFF"/>
        </w:rPr>
      </w:pPr>
    </w:p>
    <w:p w14:paraId="40D3F19E" w14:textId="49CAEA52" w:rsidR="008F21F3" w:rsidRDefault="008F21F3" w:rsidP="008F21F3">
      <w:pPr>
        <w:rPr>
          <w:color w:val="222222"/>
          <w:shd w:val="clear" w:color="auto" w:fill="FFFFFF"/>
        </w:rPr>
      </w:pPr>
      <w:r>
        <w:rPr>
          <w:b/>
          <w:color w:val="222222"/>
          <w:shd w:val="clear" w:color="auto" w:fill="FFFFFF"/>
        </w:rPr>
        <w:t>1 new genus proposed</w:t>
      </w:r>
      <w:r w:rsidRPr="00185E67">
        <w:rPr>
          <w:b/>
          <w:color w:val="222222"/>
          <w:shd w:val="clear" w:color="auto" w:fill="FFFFFF"/>
        </w:rPr>
        <w:t>:</w:t>
      </w:r>
      <w:r>
        <w:rPr>
          <w:color w:val="222222"/>
          <w:shd w:val="clear" w:color="auto" w:fill="FFFFFF"/>
        </w:rPr>
        <w:t xml:space="preserve"> </w:t>
      </w:r>
      <w:r>
        <w:rPr>
          <w:i/>
          <w:color w:val="222222"/>
          <w:shd w:val="clear" w:color="auto" w:fill="FFFFFF"/>
        </w:rPr>
        <w:t>Deltaflexivirus</w:t>
      </w:r>
    </w:p>
    <w:p w14:paraId="3E76AD20" w14:textId="77777777" w:rsidR="00AE48E0" w:rsidRDefault="00AE48E0" w:rsidP="008F21F3">
      <w:pPr>
        <w:rPr>
          <w:b/>
          <w:color w:val="222222"/>
          <w:shd w:val="clear" w:color="auto" w:fill="FFFFFF"/>
        </w:rPr>
      </w:pPr>
    </w:p>
    <w:p w14:paraId="1DE92014" w14:textId="6E333B4B" w:rsidR="008F21F3" w:rsidRPr="007C4333" w:rsidRDefault="008F21F3" w:rsidP="008F21F3">
      <w:pPr>
        <w:rPr>
          <w:color w:val="222222"/>
          <w:shd w:val="clear" w:color="auto" w:fill="FFFFFF"/>
        </w:rPr>
      </w:pPr>
      <w:r w:rsidRPr="00EC28C8">
        <w:rPr>
          <w:b/>
          <w:color w:val="222222"/>
          <w:shd w:val="clear" w:color="auto" w:fill="FFFFFF"/>
        </w:rPr>
        <w:t>Species demarcation criteria</w:t>
      </w:r>
      <w:r>
        <w:rPr>
          <w:color w:val="222222"/>
          <w:shd w:val="clear" w:color="auto" w:fill="FFFFFF"/>
        </w:rPr>
        <w:t>: differences in host range; differences in the number of minor ORFs; amino acid identities between the respective replication polyproteins of less than 70%.</w:t>
      </w:r>
    </w:p>
    <w:p w14:paraId="13806567" w14:textId="77777777" w:rsidR="008F21F3" w:rsidRPr="002B14CD" w:rsidRDefault="008F21F3" w:rsidP="008F21F3">
      <w:pPr>
        <w:rPr>
          <w:color w:val="222222"/>
          <w:shd w:val="clear" w:color="auto" w:fill="FFFFFF"/>
        </w:rPr>
      </w:pPr>
      <w:r>
        <w:rPr>
          <w:color w:val="222222"/>
          <w:shd w:val="clear" w:color="auto" w:fill="FFFFFF"/>
        </w:rPr>
        <w:t xml:space="preserve">Type species </w:t>
      </w:r>
      <w:r w:rsidRPr="00185E67">
        <w:rPr>
          <w:i/>
          <w:color w:val="222222"/>
          <w:shd w:val="clear" w:color="auto" w:fill="FFFFFF"/>
        </w:rPr>
        <w:t xml:space="preserve">Sclerotinia </w:t>
      </w:r>
      <w:r>
        <w:rPr>
          <w:i/>
          <w:color w:val="222222"/>
          <w:shd w:val="clear" w:color="auto" w:fill="FFFFFF"/>
        </w:rPr>
        <w:t>deltaflexiv</w:t>
      </w:r>
      <w:r w:rsidRPr="00185E67">
        <w:rPr>
          <w:i/>
          <w:color w:val="222222"/>
          <w:shd w:val="clear" w:color="auto" w:fill="FFFFFF"/>
        </w:rPr>
        <w:t>irus 1</w:t>
      </w:r>
      <w:r>
        <w:rPr>
          <w:color w:val="222222"/>
          <w:shd w:val="clear" w:color="auto" w:fill="FFFFFF"/>
        </w:rPr>
        <w:t xml:space="preserve"> (the first and best-described member).</w:t>
      </w:r>
    </w:p>
    <w:p w14:paraId="5E0A520B" w14:textId="77777777" w:rsidR="00AE48E0" w:rsidRDefault="00AE48E0" w:rsidP="008F21F3">
      <w:pPr>
        <w:rPr>
          <w:b/>
          <w:color w:val="222222"/>
          <w:shd w:val="clear" w:color="auto" w:fill="FFFFFF"/>
        </w:rPr>
      </w:pPr>
    </w:p>
    <w:p w14:paraId="3FBED47E" w14:textId="73DE9402" w:rsidR="00EC28C8" w:rsidRDefault="008F21F3" w:rsidP="008F21F3">
      <w:pPr>
        <w:rPr>
          <w:i/>
          <w:color w:val="222222"/>
          <w:shd w:val="clear" w:color="auto" w:fill="FFFFFF"/>
        </w:rPr>
      </w:pPr>
      <w:r>
        <w:rPr>
          <w:b/>
          <w:color w:val="222222"/>
          <w:shd w:val="clear" w:color="auto" w:fill="FFFFFF"/>
        </w:rPr>
        <w:t>1 new family proposed</w:t>
      </w:r>
      <w:r w:rsidRPr="00185E67">
        <w:rPr>
          <w:b/>
          <w:color w:val="222222"/>
          <w:shd w:val="clear" w:color="auto" w:fill="FFFFFF"/>
        </w:rPr>
        <w:t>:</w:t>
      </w:r>
      <w:r>
        <w:rPr>
          <w:color w:val="222222"/>
          <w:shd w:val="clear" w:color="auto" w:fill="FFFFFF"/>
        </w:rPr>
        <w:t xml:space="preserve"> </w:t>
      </w:r>
      <w:r>
        <w:rPr>
          <w:i/>
          <w:color w:val="222222"/>
          <w:shd w:val="clear" w:color="auto" w:fill="FFFFFF"/>
        </w:rPr>
        <w:t>Deltaflexi</w:t>
      </w:r>
      <w:r w:rsidRPr="00185E67">
        <w:rPr>
          <w:i/>
          <w:color w:val="222222"/>
          <w:shd w:val="clear" w:color="auto" w:fill="FFFFFF"/>
        </w:rPr>
        <w:t>viridae</w:t>
      </w:r>
      <w:r w:rsidR="00EC28C8">
        <w:rPr>
          <w:color w:val="222222"/>
          <w:shd w:val="clear" w:color="auto" w:fill="FFFFFF"/>
        </w:rPr>
        <w:tab/>
      </w:r>
      <w:r w:rsidRPr="000178CA">
        <w:rPr>
          <w:b/>
          <w:color w:val="222222"/>
          <w:shd w:val="clear" w:color="auto" w:fill="FFFFFF"/>
        </w:rPr>
        <w:t>Order:</w:t>
      </w:r>
      <w:r>
        <w:rPr>
          <w:color w:val="222222"/>
          <w:shd w:val="clear" w:color="auto" w:fill="FFFFFF"/>
        </w:rPr>
        <w:t xml:space="preserve"> </w:t>
      </w:r>
      <w:r w:rsidRPr="000178CA">
        <w:rPr>
          <w:i/>
          <w:color w:val="222222"/>
          <w:shd w:val="clear" w:color="auto" w:fill="FFFFFF"/>
        </w:rPr>
        <w:t>Tymovirales</w:t>
      </w:r>
    </w:p>
    <w:p w14:paraId="16EAC8D5" w14:textId="77777777" w:rsidR="00EC28C8" w:rsidRDefault="00EC28C8">
      <w:pPr>
        <w:rPr>
          <w:i/>
          <w:color w:val="222222"/>
          <w:shd w:val="clear" w:color="auto" w:fill="FFFFFF"/>
        </w:rPr>
      </w:pPr>
      <w:r>
        <w:rPr>
          <w:i/>
          <w:color w:val="222222"/>
          <w:shd w:val="clear" w:color="auto" w:fill="FFFFFF"/>
        </w:rPr>
        <w:br w:type="page"/>
      </w:r>
    </w:p>
    <w:p w14:paraId="48274BCD" w14:textId="24D6C0B6" w:rsidR="008F21F3" w:rsidRDefault="00AE48E0" w:rsidP="008F21F3">
      <w:pPr>
        <w:rPr>
          <w:color w:val="222222"/>
          <w:shd w:val="clear" w:color="auto" w:fill="FFFFFF"/>
        </w:rPr>
      </w:pPr>
      <w:r w:rsidRPr="00AE48E0">
        <w:rPr>
          <w:noProof/>
          <w:lang w:val="en-GB" w:eastAsia="en-GB"/>
        </w:rPr>
        <w:lastRenderedPageBreak/>
        <w:drawing>
          <wp:anchor distT="0" distB="0" distL="114300" distR="114300" simplePos="0" relativeHeight="251666432" behindDoc="0" locked="0" layoutInCell="1" allowOverlap="1" wp14:anchorId="1A9FA0E7" wp14:editId="239BA35C">
            <wp:simplePos x="0" y="0"/>
            <wp:positionH relativeFrom="column">
              <wp:posOffset>0</wp:posOffset>
            </wp:positionH>
            <wp:positionV relativeFrom="paragraph">
              <wp:posOffset>175260</wp:posOffset>
            </wp:positionV>
            <wp:extent cx="5897880" cy="3901440"/>
            <wp:effectExtent l="0" t="0" r="0" b="0"/>
            <wp:wrapTopAndBottom/>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97880" cy="390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3C8B2" w14:textId="77777777" w:rsidR="008F21F3" w:rsidRDefault="008F21F3" w:rsidP="008F21F3"/>
    <w:p w14:paraId="0E872A9C" w14:textId="77777777" w:rsidR="008F21F3" w:rsidRDefault="008F21F3" w:rsidP="008F21F3">
      <w:pPr>
        <w:rPr>
          <w:b/>
        </w:rPr>
      </w:pPr>
    </w:p>
    <w:p w14:paraId="5C3ECAD8" w14:textId="77777777" w:rsidR="008F21F3" w:rsidRDefault="008F21F3" w:rsidP="008F21F3">
      <w:pPr>
        <w:rPr>
          <w:b/>
        </w:rPr>
      </w:pPr>
    </w:p>
    <w:p w14:paraId="6FF8A1A6" w14:textId="77777777" w:rsidR="008F21F3" w:rsidRDefault="008F21F3" w:rsidP="008F21F3">
      <w:pPr>
        <w:rPr>
          <w:b/>
        </w:rPr>
      </w:pPr>
    </w:p>
    <w:p w14:paraId="305E4DB3" w14:textId="77777777" w:rsidR="008F21F3" w:rsidRDefault="008F21F3" w:rsidP="008F21F3">
      <w:pPr>
        <w:rPr>
          <w:b/>
        </w:rPr>
      </w:pPr>
    </w:p>
    <w:p w14:paraId="2CD79130" w14:textId="42D11035" w:rsidR="008F21F3" w:rsidRDefault="008F21F3" w:rsidP="008F21F3">
      <w:r w:rsidRPr="00B00204">
        <w:rPr>
          <w:b/>
        </w:rPr>
        <w:t xml:space="preserve">Figure 1. </w:t>
      </w:r>
      <w:r w:rsidRPr="00B00204">
        <w:t>Genome</w:t>
      </w:r>
      <w:r>
        <w:t xml:space="preserve"> organisation of the three viruses described in this proposal. The large ORF in each virus is a replication polyprotein with methyltransferase (Mtr), helicase (Hel) and </w:t>
      </w:r>
      <w:r w:rsidRPr="006F171F">
        <w:t>RNA-dependent RNA polymerase</w:t>
      </w:r>
      <w:r>
        <w:t xml:space="preserve"> </w:t>
      </w:r>
      <w:r w:rsidRPr="006F171F">
        <w:t>(RdRp) domains</w:t>
      </w:r>
      <w:r>
        <w:t>. The smaller ORFs downstream are predicted but the function of their products is unknown and it is not known if they are expressed although there are similarities between the two ORFs</w:t>
      </w:r>
      <w:r w:rsidRPr="00B00204">
        <w:t xml:space="preserve"> </w:t>
      </w:r>
      <w:r>
        <w:t>shown in green.</w:t>
      </w:r>
    </w:p>
    <w:p w14:paraId="64E9AB03" w14:textId="77777777" w:rsidR="008F21F3" w:rsidRDefault="008F21F3" w:rsidP="008F21F3"/>
    <w:p w14:paraId="7352845A" w14:textId="77777777" w:rsidR="008F21F3" w:rsidRDefault="008F21F3" w:rsidP="008F21F3">
      <w:r>
        <w:br w:type="page"/>
      </w:r>
    </w:p>
    <w:p w14:paraId="3FAC70F9" w14:textId="6BF917A0" w:rsidR="008F21F3" w:rsidRDefault="00494F5D" w:rsidP="008F21F3">
      <w:pPr>
        <w:rPr>
          <w:b/>
        </w:rPr>
      </w:pPr>
      <w:r w:rsidRPr="00494F5D">
        <w:rPr>
          <w:noProof/>
          <w:lang w:val="en-GB" w:eastAsia="en-GB"/>
        </w:rPr>
        <w:lastRenderedPageBreak/>
        <w:drawing>
          <wp:anchor distT="0" distB="0" distL="114300" distR="114300" simplePos="0" relativeHeight="251668480" behindDoc="0" locked="0" layoutInCell="1" allowOverlap="1" wp14:anchorId="211D7F7B" wp14:editId="1F110BA9">
            <wp:simplePos x="0" y="0"/>
            <wp:positionH relativeFrom="column">
              <wp:posOffset>0</wp:posOffset>
            </wp:positionH>
            <wp:positionV relativeFrom="paragraph">
              <wp:posOffset>175260</wp:posOffset>
            </wp:positionV>
            <wp:extent cx="5940425" cy="6468745"/>
            <wp:effectExtent l="0" t="0" r="0" b="0"/>
            <wp:wrapTopAndBottom/>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646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76D919" w14:textId="77777777" w:rsidR="008F21F3" w:rsidRDefault="008F21F3" w:rsidP="008F21F3">
      <w:pPr>
        <w:rPr>
          <w:b/>
        </w:rPr>
      </w:pPr>
    </w:p>
    <w:p w14:paraId="4B73695A" w14:textId="77777777" w:rsidR="008F21F3" w:rsidRDefault="008F21F3" w:rsidP="008F21F3">
      <w:pPr>
        <w:rPr>
          <w:b/>
        </w:rPr>
      </w:pPr>
    </w:p>
    <w:p w14:paraId="259D704C" w14:textId="2B328E76" w:rsidR="008F21F3" w:rsidRDefault="008F21F3" w:rsidP="008F21F3">
      <w:r>
        <w:rPr>
          <w:b/>
        </w:rPr>
        <w:t>F</w:t>
      </w:r>
      <w:r w:rsidRPr="00B00204">
        <w:rPr>
          <w:b/>
        </w:rPr>
        <w:t xml:space="preserve">igure </w:t>
      </w:r>
      <w:r>
        <w:rPr>
          <w:b/>
        </w:rPr>
        <w:t>2</w:t>
      </w:r>
      <w:r w:rsidRPr="00B00204">
        <w:rPr>
          <w:b/>
        </w:rPr>
        <w:t xml:space="preserve">. </w:t>
      </w:r>
      <w:r>
        <w:t xml:space="preserve">Neighbour-joining phylogenetic analysis of the entire replication protein amino acid sequences of representative members of the order </w:t>
      </w:r>
      <w:r w:rsidRPr="00DB2D1B">
        <w:rPr>
          <w:i/>
        </w:rPr>
        <w:t>Tymovirales</w:t>
      </w:r>
      <w:r>
        <w:t xml:space="preserve"> and the three members of the proposed new family </w:t>
      </w:r>
      <w:r>
        <w:rPr>
          <w:i/>
        </w:rPr>
        <w:t>Deltaflexi</w:t>
      </w:r>
      <w:r w:rsidRPr="00DB2D1B">
        <w:rPr>
          <w:i/>
        </w:rPr>
        <w:t>viridae</w:t>
      </w:r>
      <w:r>
        <w:t xml:space="preserve"> (</w:t>
      </w:r>
      <w:r w:rsidRPr="00156E2A">
        <w:rPr>
          <w:color w:val="FF0000"/>
        </w:rPr>
        <w:t>in red</w:t>
      </w:r>
      <w:r>
        <w:t>)</w:t>
      </w:r>
      <w:r w:rsidR="007A3CA5">
        <w:t>.</w:t>
      </w:r>
      <w:r>
        <w:t xml:space="preserve"> </w:t>
      </w:r>
      <w:r w:rsidRPr="004742BA">
        <w:rPr>
          <w:sz w:val="22"/>
        </w:rPr>
        <w:t>Tree prepared in MEGA7 with JTT amino acid substitutions</w:t>
      </w:r>
      <w:r>
        <w:rPr>
          <w:sz w:val="22"/>
        </w:rPr>
        <w:t xml:space="preserve"> and rooted with rubella virus (RUBV, </w:t>
      </w:r>
      <w:r w:rsidRPr="00DB2D1B">
        <w:t xml:space="preserve">genus </w:t>
      </w:r>
      <w:r w:rsidRPr="00C83843">
        <w:rPr>
          <w:i/>
        </w:rPr>
        <w:t>Rubivirus</w:t>
      </w:r>
      <w:r>
        <w:t xml:space="preserve">, family </w:t>
      </w:r>
      <w:r>
        <w:rPr>
          <w:i/>
        </w:rPr>
        <w:t>Tog</w:t>
      </w:r>
      <w:r w:rsidRPr="00C83843">
        <w:rPr>
          <w:i/>
        </w:rPr>
        <w:t>aviridae</w:t>
      </w:r>
      <w:r>
        <w:t>;</w:t>
      </w:r>
      <w:r w:rsidRPr="00DB2D1B">
        <w:t xml:space="preserve"> M15240)</w:t>
      </w:r>
      <w:r>
        <w:t>.</w:t>
      </w:r>
      <w:r w:rsidRPr="004742BA">
        <w:rPr>
          <w:sz w:val="22"/>
        </w:rPr>
        <w:t xml:space="preserve"> Bootstrap percentages from 1000 replicates are shown at the branches (</w:t>
      </w:r>
      <w:r w:rsidRPr="000178CA">
        <w:rPr>
          <w:sz w:val="22"/>
        </w:rPr>
        <w:t>where &gt;60%).</w:t>
      </w:r>
      <w:r>
        <w:rPr>
          <w:sz w:val="22"/>
        </w:rPr>
        <w:t xml:space="preserve"> </w:t>
      </w:r>
      <w:r>
        <w:t xml:space="preserve">Other abbreviations and sequence accession numbers as follows: </w:t>
      </w:r>
      <w:r w:rsidRPr="00DB2D1B">
        <w:t xml:space="preserve">ACLSV, apple chlorotic leaf spot virus (genus </w:t>
      </w:r>
      <w:r w:rsidRPr="00DB2D1B">
        <w:rPr>
          <w:i/>
        </w:rPr>
        <w:t>Trichovirus</w:t>
      </w:r>
      <w:r w:rsidRPr="00DB2D1B">
        <w:t>; D14996)</w:t>
      </w:r>
      <w:r>
        <w:t xml:space="preserve">; </w:t>
      </w:r>
      <w:r w:rsidRPr="00DB2D1B">
        <w:t xml:space="preserve">ASGV, apple stem grooving virus (genus </w:t>
      </w:r>
      <w:r w:rsidRPr="00DB2D1B">
        <w:rPr>
          <w:i/>
        </w:rPr>
        <w:t>Capillovirus</w:t>
      </w:r>
      <w:r w:rsidRPr="00DB2D1B">
        <w:t>; D14995)</w:t>
      </w:r>
      <w:r>
        <w:t xml:space="preserve">; </w:t>
      </w:r>
      <w:r w:rsidRPr="00DB2D1B">
        <w:t xml:space="preserve">ASPV, apple stem pitting virus (genus </w:t>
      </w:r>
      <w:r w:rsidRPr="00DB2D1B">
        <w:rPr>
          <w:i/>
        </w:rPr>
        <w:t>Foveavirus</w:t>
      </w:r>
      <w:r w:rsidRPr="00DB2D1B">
        <w:t>; D21829)</w:t>
      </w:r>
      <w:r>
        <w:t xml:space="preserve">; </w:t>
      </w:r>
      <w:r w:rsidRPr="00DB2D1B">
        <w:t xml:space="preserve">AVCaV, apricot vein clearing associated virus (genus </w:t>
      </w:r>
      <w:r w:rsidRPr="00DB2D1B">
        <w:rPr>
          <w:i/>
        </w:rPr>
        <w:t>Prunevirus</w:t>
      </w:r>
      <w:r w:rsidRPr="00DB2D1B">
        <w:t>; HG008921)</w:t>
      </w:r>
      <w:r>
        <w:t xml:space="preserve">; </w:t>
      </w:r>
      <w:r w:rsidRPr="00DB2D1B">
        <w:t>BanMMV, banana mild mosaic virus (</w:t>
      </w:r>
      <w:r>
        <w:t>u</w:t>
      </w:r>
      <w:r w:rsidRPr="00DB2D1B">
        <w:t>nassigned; AF314662)</w:t>
      </w:r>
      <w:r>
        <w:t xml:space="preserve">; </w:t>
      </w:r>
      <w:r w:rsidRPr="00DB2D1B">
        <w:t>BmMLV, Bombyx mori latent virus (</w:t>
      </w:r>
      <w:r>
        <w:t>u</w:t>
      </w:r>
      <w:r w:rsidRPr="00DB2D1B">
        <w:t>nassigned; AB186123)</w:t>
      </w:r>
      <w:r>
        <w:t xml:space="preserve">; </w:t>
      </w:r>
      <w:r w:rsidRPr="00DB2D1B">
        <w:t xml:space="preserve">BotV-F, Botrytis virus F (genus </w:t>
      </w:r>
      <w:r w:rsidRPr="00DB2D1B">
        <w:rPr>
          <w:i/>
        </w:rPr>
        <w:t>Mycoflexivirus</w:t>
      </w:r>
      <w:r w:rsidRPr="00DB2D1B">
        <w:t>; AF238884)</w:t>
      </w:r>
      <w:r>
        <w:t xml:space="preserve">; </w:t>
      </w:r>
      <w:r w:rsidRPr="00DB2D1B">
        <w:t xml:space="preserve">BotV-X, Botrytis virus X (genus </w:t>
      </w:r>
      <w:r w:rsidRPr="00DB2D1B">
        <w:rPr>
          <w:i/>
        </w:rPr>
        <w:t>Botrexvirus</w:t>
      </w:r>
      <w:r w:rsidRPr="00DB2D1B">
        <w:t xml:space="preserve">; </w:t>
      </w:r>
      <w:r w:rsidRPr="00DB2D1B">
        <w:lastRenderedPageBreak/>
        <w:t>AY055762)</w:t>
      </w:r>
      <w:r>
        <w:t xml:space="preserve">; </w:t>
      </w:r>
      <w:r w:rsidRPr="00DB2D1B">
        <w:t>BVE, blackberry virus E (</w:t>
      </w:r>
      <w:r>
        <w:t>u</w:t>
      </w:r>
      <w:r w:rsidRPr="00DB2D1B">
        <w:t>nassigned; JN053266)</w:t>
      </w:r>
      <w:r>
        <w:t xml:space="preserve">; </w:t>
      </w:r>
      <w:r w:rsidRPr="00DB2D1B">
        <w:t>CCh</w:t>
      </w:r>
      <w:r w:rsidR="00ED0F94">
        <w:t>V</w:t>
      </w:r>
      <w:r w:rsidRPr="00DB2D1B">
        <w:t xml:space="preserve">-1, carrot Ch virus 1 (genus </w:t>
      </w:r>
      <w:r w:rsidRPr="00DB2D1B">
        <w:rPr>
          <w:i/>
        </w:rPr>
        <w:t>Chordovirus</w:t>
      </w:r>
      <w:r w:rsidRPr="00DB2D1B">
        <w:t>; KF533711)</w:t>
      </w:r>
      <w:r>
        <w:t xml:space="preserve">; </w:t>
      </w:r>
      <w:r w:rsidRPr="00DB2D1B">
        <w:t xml:space="preserve">CLBV, Citrus leaf blotch virus (genus </w:t>
      </w:r>
      <w:r w:rsidRPr="00DB2D1B">
        <w:rPr>
          <w:i/>
        </w:rPr>
        <w:t>Citrivirus</w:t>
      </w:r>
      <w:r w:rsidRPr="00DB2D1B">
        <w:t>; AJ318061)</w:t>
      </w:r>
      <w:r>
        <w:t xml:space="preserve">; </w:t>
      </w:r>
      <w:r w:rsidRPr="00DB2D1B">
        <w:t xml:space="preserve">CNRMV, cherry necrotic rusty mottle virus (genus </w:t>
      </w:r>
      <w:r w:rsidRPr="00DB2D1B">
        <w:rPr>
          <w:i/>
        </w:rPr>
        <w:t>Robigovirus</w:t>
      </w:r>
      <w:r w:rsidRPr="00DB2D1B">
        <w:t>; AF237816)</w:t>
      </w:r>
      <w:r>
        <w:t xml:space="preserve">; </w:t>
      </w:r>
      <w:r w:rsidRPr="00DB2D1B">
        <w:t xml:space="preserve">DiV-A, Diuris virus A (genus </w:t>
      </w:r>
      <w:r w:rsidRPr="00DB2D1B">
        <w:rPr>
          <w:i/>
        </w:rPr>
        <w:t>Divavirus</w:t>
      </w:r>
      <w:r w:rsidRPr="00DB2D1B">
        <w:t>; JX173276)</w:t>
      </w:r>
      <w:r>
        <w:t xml:space="preserve">; </w:t>
      </w:r>
      <w:r w:rsidRPr="00DB2D1B">
        <w:t xml:space="preserve">DOSV, donkey orchid symptomless virus (genus </w:t>
      </w:r>
      <w:r w:rsidRPr="00DB2D1B">
        <w:rPr>
          <w:i/>
        </w:rPr>
        <w:t>Platypuvirus</w:t>
      </w:r>
      <w:r w:rsidRPr="00DB2D1B">
        <w:t>; KC923234)</w:t>
      </w:r>
      <w:r>
        <w:t xml:space="preserve">; </w:t>
      </w:r>
      <w:r w:rsidRPr="00156E2A">
        <w:rPr>
          <w:color w:val="FF0000"/>
        </w:rPr>
        <w:t>FgDFV1, Fusarium graminearum deltaflexivirus 1 (KX015962)</w:t>
      </w:r>
      <w:r>
        <w:t xml:space="preserve">; </w:t>
      </w:r>
      <w:r w:rsidRPr="00DB2D1B">
        <w:t>FgMV-1, Fusarium graminearum mycotymovirus 1 (</w:t>
      </w:r>
      <w:r>
        <w:t>unclassified</w:t>
      </w:r>
      <w:r w:rsidRPr="00DB2D1B">
        <w:t>; KT360947)</w:t>
      </w:r>
      <w:r>
        <w:t xml:space="preserve">; </w:t>
      </w:r>
      <w:r w:rsidRPr="00DB2D1B">
        <w:t xml:space="preserve">GFkV, grapevine fleck virus (genus </w:t>
      </w:r>
      <w:r w:rsidRPr="00C83843">
        <w:rPr>
          <w:i/>
        </w:rPr>
        <w:t>Maculavirus</w:t>
      </w:r>
      <w:r w:rsidRPr="00DB2D1B">
        <w:t>; AJ309022)</w:t>
      </w:r>
      <w:r>
        <w:t xml:space="preserve">; </w:t>
      </w:r>
      <w:r w:rsidRPr="00DB2D1B">
        <w:t xml:space="preserve">GVA, grapevine virus A (genus </w:t>
      </w:r>
      <w:r w:rsidRPr="00C83843">
        <w:rPr>
          <w:i/>
        </w:rPr>
        <w:t>Vitivirus</w:t>
      </w:r>
      <w:r w:rsidRPr="00DB2D1B">
        <w:t>; X75433)</w:t>
      </w:r>
      <w:r>
        <w:t xml:space="preserve">; </w:t>
      </w:r>
      <w:r w:rsidRPr="00DB2D1B">
        <w:t xml:space="preserve">ICRSV, Indian citrus ringspot virus (genus </w:t>
      </w:r>
      <w:r w:rsidRPr="00C83843">
        <w:rPr>
          <w:i/>
        </w:rPr>
        <w:t>Mandarivirus</w:t>
      </w:r>
      <w:r w:rsidRPr="00DB2D1B">
        <w:t>; AF406744)</w:t>
      </w:r>
      <w:r>
        <w:t xml:space="preserve">; </w:t>
      </w:r>
      <w:r w:rsidRPr="00DB2D1B">
        <w:t xml:space="preserve">LoLV, Lolium latent virus (genus </w:t>
      </w:r>
      <w:r w:rsidRPr="00C83843">
        <w:rPr>
          <w:i/>
        </w:rPr>
        <w:t>Lolavirus</w:t>
      </w:r>
      <w:r w:rsidRPr="00DB2D1B">
        <w:t>; EU489641)</w:t>
      </w:r>
      <w:r>
        <w:t xml:space="preserve">; </w:t>
      </w:r>
      <w:r w:rsidRPr="00DB2D1B">
        <w:t xml:space="preserve">MRFV, maize rayado fino virus (genus </w:t>
      </w:r>
      <w:r w:rsidRPr="00C83843">
        <w:rPr>
          <w:i/>
        </w:rPr>
        <w:t>Marafivirus</w:t>
      </w:r>
      <w:r w:rsidRPr="00DB2D1B">
        <w:t>; AF265566)</w:t>
      </w:r>
      <w:r>
        <w:t xml:space="preserve">; </w:t>
      </w:r>
      <w:r w:rsidRPr="00DB2D1B">
        <w:t>PnMV, Poinsettia mosaic virus (</w:t>
      </w:r>
      <w:r>
        <w:t>u</w:t>
      </w:r>
      <w:r w:rsidRPr="00DB2D1B">
        <w:t>nassigned; AJ271595)</w:t>
      </w:r>
      <w:r>
        <w:t xml:space="preserve">; </w:t>
      </w:r>
      <w:r w:rsidRPr="00DB2D1B">
        <w:t xml:space="preserve">PVM, potato virus M (genus </w:t>
      </w:r>
      <w:r w:rsidRPr="00C83843">
        <w:rPr>
          <w:i/>
        </w:rPr>
        <w:t>Carlavirus</w:t>
      </w:r>
      <w:r w:rsidRPr="00DB2D1B">
        <w:t>; D14449)</w:t>
      </w:r>
      <w:r>
        <w:t xml:space="preserve">; </w:t>
      </w:r>
      <w:r w:rsidRPr="00DB2D1B">
        <w:t xml:space="preserve">PVT, potato virus T (genus </w:t>
      </w:r>
      <w:r w:rsidRPr="00C83843">
        <w:rPr>
          <w:i/>
        </w:rPr>
        <w:t>Tepovirus</w:t>
      </w:r>
      <w:r w:rsidRPr="00DB2D1B">
        <w:t>; EU835937)</w:t>
      </w:r>
      <w:r>
        <w:t xml:space="preserve">; </w:t>
      </w:r>
      <w:r w:rsidRPr="00DB2D1B">
        <w:t xml:space="preserve">PVX, potato virus X (genus </w:t>
      </w:r>
      <w:r w:rsidRPr="00C83843">
        <w:rPr>
          <w:i/>
        </w:rPr>
        <w:t>Potexvirus</w:t>
      </w:r>
      <w:r w:rsidRPr="00DB2D1B">
        <w:t>; D00344)</w:t>
      </w:r>
      <w:r>
        <w:t xml:space="preserve">; </w:t>
      </w:r>
      <w:r w:rsidRPr="00156E2A">
        <w:rPr>
          <w:color w:val="FF0000"/>
        </w:rPr>
        <w:t>S</w:t>
      </w:r>
      <w:r w:rsidR="00494F5D">
        <w:rPr>
          <w:color w:val="FF0000"/>
        </w:rPr>
        <w:t>l</w:t>
      </w:r>
      <w:r w:rsidRPr="00156E2A">
        <w:rPr>
          <w:color w:val="FF0000"/>
        </w:rPr>
        <w:t>aMFV1, soybean</w:t>
      </w:r>
      <w:r w:rsidR="00494F5D">
        <w:rPr>
          <w:color w:val="FF0000"/>
        </w:rPr>
        <w:t xml:space="preserve"> leaf</w:t>
      </w:r>
      <w:r w:rsidRPr="00156E2A">
        <w:rPr>
          <w:color w:val="FF0000"/>
        </w:rPr>
        <w:t>-associated mycoflexivirus 1 (KT598226)</w:t>
      </w:r>
      <w:r>
        <w:t xml:space="preserve">; </w:t>
      </w:r>
      <w:r w:rsidRPr="00DB2D1B">
        <w:t>SCSMaV, sugarcane striate mosaic-associated virus (</w:t>
      </w:r>
      <w:r>
        <w:t>u</w:t>
      </w:r>
      <w:r w:rsidRPr="00DB2D1B">
        <w:t>nassigned; AF315308)</w:t>
      </w:r>
      <w:r>
        <w:t xml:space="preserve">; </w:t>
      </w:r>
      <w:r w:rsidRPr="00DB2D1B">
        <w:t xml:space="preserve">ShVX, shallot virus X (genus </w:t>
      </w:r>
      <w:r w:rsidRPr="00C83843">
        <w:rPr>
          <w:i/>
        </w:rPr>
        <w:t>Allexivirus</w:t>
      </w:r>
      <w:r w:rsidRPr="00DB2D1B">
        <w:t>; M97264)</w:t>
      </w:r>
      <w:r>
        <w:t xml:space="preserve">; </w:t>
      </w:r>
      <w:r w:rsidRPr="00DB2D1B">
        <w:t xml:space="preserve">SSDaV, Sclerotinia sclerotiorum debilitation-associated RNA virus (genus </w:t>
      </w:r>
      <w:r w:rsidRPr="00C83843">
        <w:rPr>
          <w:i/>
        </w:rPr>
        <w:t>Sclerodarnavirus</w:t>
      </w:r>
      <w:r w:rsidRPr="00DB2D1B">
        <w:t>; AY147260)</w:t>
      </w:r>
      <w:r>
        <w:t xml:space="preserve">; </w:t>
      </w:r>
      <w:r w:rsidRPr="00156E2A">
        <w:rPr>
          <w:color w:val="FF0000"/>
        </w:rPr>
        <w:t>SsDFV1, Sclerotinia sclerotiorum deltaflexivirus 1 (KT581451)</w:t>
      </w:r>
      <w:r>
        <w:t xml:space="preserve">; </w:t>
      </w:r>
      <w:r w:rsidRPr="00DB2D1B">
        <w:t xml:space="preserve">TYMV, turnip yellow mosaic virus (genus </w:t>
      </w:r>
      <w:r w:rsidRPr="00C83843">
        <w:rPr>
          <w:i/>
        </w:rPr>
        <w:t>Tymovirus</w:t>
      </w:r>
      <w:r w:rsidRPr="00DB2D1B">
        <w:t>; X07441)</w:t>
      </w:r>
      <w:r>
        <w:t>.</w:t>
      </w:r>
    </w:p>
    <w:p w14:paraId="23E9DBD8" w14:textId="77777777" w:rsidR="008F21F3" w:rsidRDefault="008F21F3" w:rsidP="008F21F3"/>
    <w:p w14:paraId="5DA3A4D7" w14:textId="77777777" w:rsidR="008F21F3" w:rsidRPr="00EC28C8" w:rsidRDefault="008F21F3" w:rsidP="00EC28C8"/>
    <w:p w14:paraId="69F7AEDC" w14:textId="77777777" w:rsidR="008F21F3" w:rsidRPr="00EC28C8" w:rsidRDefault="008F21F3" w:rsidP="00724490"/>
    <w:p w14:paraId="5DFC1732" w14:textId="77777777" w:rsidR="00CE0DE4" w:rsidRPr="00991A82" w:rsidRDefault="00717E5C"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591F2390" wp14:editId="1AA423EB">
                <wp:simplePos x="0" y="0"/>
                <wp:positionH relativeFrom="column">
                  <wp:posOffset>0</wp:posOffset>
                </wp:positionH>
                <wp:positionV relativeFrom="paragraph">
                  <wp:posOffset>196850</wp:posOffset>
                </wp:positionV>
                <wp:extent cx="5600700" cy="0"/>
                <wp:effectExtent l="19050" t="21590" r="19050" b="1651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FD3AD"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E417D" w14:textId="77777777" w:rsidR="001E0E69" w:rsidRDefault="001E0E69" w:rsidP="00216994">
      <w:pPr>
        <w:pStyle w:val="Header"/>
      </w:pPr>
      <w:r>
        <w:separator/>
      </w:r>
    </w:p>
  </w:endnote>
  <w:endnote w:type="continuationSeparator" w:id="0">
    <w:p w14:paraId="17CAF757" w14:textId="77777777" w:rsidR="001E0E69" w:rsidRDefault="001E0E69" w:rsidP="0021699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05F4C" w14:textId="52587616" w:rsidR="008F289E" w:rsidRPr="002E52B9" w:rsidRDefault="008F289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74188">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74188">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F372D" w14:textId="77777777" w:rsidR="001E0E69" w:rsidRDefault="001E0E69" w:rsidP="00216994">
      <w:pPr>
        <w:pStyle w:val="Header"/>
      </w:pPr>
      <w:r>
        <w:separator/>
      </w:r>
    </w:p>
  </w:footnote>
  <w:footnote w:type="continuationSeparator" w:id="0">
    <w:p w14:paraId="2B286F79" w14:textId="77777777" w:rsidR="001E0E69" w:rsidRDefault="001E0E69" w:rsidP="00216994">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E88DE" w14:textId="77777777" w:rsidR="008F289E" w:rsidRPr="00F369A4" w:rsidRDefault="008F289E"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959E0"/>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0E69"/>
    <w:rsid w:val="001E59C1"/>
    <w:rsid w:val="001E7FD5"/>
    <w:rsid w:val="001F2102"/>
    <w:rsid w:val="001F4031"/>
    <w:rsid w:val="00202BB3"/>
    <w:rsid w:val="00210B49"/>
    <w:rsid w:val="00212269"/>
    <w:rsid w:val="002129A8"/>
    <w:rsid w:val="00216994"/>
    <w:rsid w:val="0022566F"/>
    <w:rsid w:val="002361B7"/>
    <w:rsid w:val="00236673"/>
    <w:rsid w:val="002539A7"/>
    <w:rsid w:val="00260377"/>
    <w:rsid w:val="00265E5A"/>
    <w:rsid w:val="002732D1"/>
    <w:rsid w:val="00275425"/>
    <w:rsid w:val="002777A3"/>
    <w:rsid w:val="0028152F"/>
    <w:rsid w:val="0028367A"/>
    <w:rsid w:val="00283FE0"/>
    <w:rsid w:val="0028627E"/>
    <w:rsid w:val="00291213"/>
    <w:rsid w:val="002930D6"/>
    <w:rsid w:val="00295698"/>
    <w:rsid w:val="002978A6"/>
    <w:rsid w:val="002A4018"/>
    <w:rsid w:val="002A7D6D"/>
    <w:rsid w:val="002B75AB"/>
    <w:rsid w:val="002C4101"/>
    <w:rsid w:val="002E36D5"/>
    <w:rsid w:val="00304104"/>
    <w:rsid w:val="00306A5E"/>
    <w:rsid w:val="00315AEE"/>
    <w:rsid w:val="00342A81"/>
    <w:rsid w:val="00342D4D"/>
    <w:rsid w:val="003433D8"/>
    <w:rsid w:val="0034563C"/>
    <w:rsid w:val="003538F3"/>
    <w:rsid w:val="003563FA"/>
    <w:rsid w:val="00360929"/>
    <w:rsid w:val="003623D9"/>
    <w:rsid w:val="00364F36"/>
    <w:rsid w:val="003676E2"/>
    <w:rsid w:val="00370DDB"/>
    <w:rsid w:val="00377A06"/>
    <w:rsid w:val="003A0BE4"/>
    <w:rsid w:val="003A48CF"/>
    <w:rsid w:val="003A4E70"/>
    <w:rsid w:val="003A6C76"/>
    <w:rsid w:val="003B1954"/>
    <w:rsid w:val="003B7125"/>
    <w:rsid w:val="003D08E5"/>
    <w:rsid w:val="003E02C3"/>
    <w:rsid w:val="003E3AB2"/>
    <w:rsid w:val="003E7EEC"/>
    <w:rsid w:val="003F0180"/>
    <w:rsid w:val="00402B0B"/>
    <w:rsid w:val="00402D3A"/>
    <w:rsid w:val="00404ECA"/>
    <w:rsid w:val="00413670"/>
    <w:rsid w:val="004152C9"/>
    <w:rsid w:val="00422FF0"/>
    <w:rsid w:val="004435EC"/>
    <w:rsid w:val="00444E1E"/>
    <w:rsid w:val="00447321"/>
    <w:rsid w:val="0044774D"/>
    <w:rsid w:val="0047500D"/>
    <w:rsid w:val="00487A4B"/>
    <w:rsid w:val="004937AC"/>
    <w:rsid w:val="00494623"/>
    <w:rsid w:val="00494F5D"/>
    <w:rsid w:val="004A3319"/>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62099"/>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4370"/>
    <w:rsid w:val="0071520D"/>
    <w:rsid w:val="00715B64"/>
    <w:rsid w:val="00717E5C"/>
    <w:rsid w:val="00720D17"/>
    <w:rsid w:val="00724281"/>
    <w:rsid w:val="00724490"/>
    <w:rsid w:val="007279B1"/>
    <w:rsid w:val="00730A9F"/>
    <w:rsid w:val="00736F49"/>
    <w:rsid w:val="00746025"/>
    <w:rsid w:val="00751194"/>
    <w:rsid w:val="00752D7B"/>
    <w:rsid w:val="007602A2"/>
    <w:rsid w:val="0076759D"/>
    <w:rsid w:val="00774CB4"/>
    <w:rsid w:val="007772C2"/>
    <w:rsid w:val="00781A11"/>
    <w:rsid w:val="007878DB"/>
    <w:rsid w:val="00792B22"/>
    <w:rsid w:val="0079318D"/>
    <w:rsid w:val="007A3CA5"/>
    <w:rsid w:val="007A5735"/>
    <w:rsid w:val="007C1657"/>
    <w:rsid w:val="007C793A"/>
    <w:rsid w:val="007C7C41"/>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4188"/>
    <w:rsid w:val="008762E5"/>
    <w:rsid w:val="00890FAF"/>
    <w:rsid w:val="00891C67"/>
    <w:rsid w:val="008B6D5E"/>
    <w:rsid w:val="008C2CC4"/>
    <w:rsid w:val="008C7090"/>
    <w:rsid w:val="008C7B86"/>
    <w:rsid w:val="008E10B7"/>
    <w:rsid w:val="008E2333"/>
    <w:rsid w:val="008E4E0F"/>
    <w:rsid w:val="008E736E"/>
    <w:rsid w:val="008F03D2"/>
    <w:rsid w:val="008F21F3"/>
    <w:rsid w:val="008F289E"/>
    <w:rsid w:val="008F4957"/>
    <w:rsid w:val="008F5FB1"/>
    <w:rsid w:val="008F6DE4"/>
    <w:rsid w:val="009062EF"/>
    <w:rsid w:val="0090641B"/>
    <w:rsid w:val="00926A4D"/>
    <w:rsid w:val="0093622B"/>
    <w:rsid w:val="009551D6"/>
    <w:rsid w:val="009564E3"/>
    <w:rsid w:val="0096368E"/>
    <w:rsid w:val="00963FA9"/>
    <w:rsid w:val="00965805"/>
    <w:rsid w:val="00973680"/>
    <w:rsid w:val="009761BE"/>
    <w:rsid w:val="0098254F"/>
    <w:rsid w:val="009845DD"/>
    <w:rsid w:val="00984909"/>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070C"/>
    <w:rsid w:val="00AE2858"/>
    <w:rsid w:val="00AE48E0"/>
    <w:rsid w:val="00AF63CD"/>
    <w:rsid w:val="00AF65C7"/>
    <w:rsid w:val="00B04CD6"/>
    <w:rsid w:val="00B12A01"/>
    <w:rsid w:val="00B12D76"/>
    <w:rsid w:val="00B216A1"/>
    <w:rsid w:val="00B2254A"/>
    <w:rsid w:val="00B34F6A"/>
    <w:rsid w:val="00B45888"/>
    <w:rsid w:val="00B5488B"/>
    <w:rsid w:val="00B63708"/>
    <w:rsid w:val="00B829C2"/>
    <w:rsid w:val="00B845E3"/>
    <w:rsid w:val="00B84AA0"/>
    <w:rsid w:val="00B85D62"/>
    <w:rsid w:val="00B86BE8"/>
    <w:rsid w:val="00B91D87"/>
    <w:rsid w:val="00B94E8E"/>
    <w:rsid w:val="00BA3080"/>
    <w:rsid w:val="00BB2D6C"/>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248"/>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65AF9"/>
    <w:rsid w:val="00D70DF3"/>
    <w:rsid w:val="00D87539"/>
    <w:rsid w:val="00DA5352"/>
    <w:rsid w:val="00DA5E5A"/>
    <w:rsid w:val="00DA6DE4"/>
    <w:rsid w:val="00DA71AC"/>
    <w:rsid w:val="00DA7AE7"/>
    <w:rsid w:val="00DB3CB3"/>
    <w:rsid w:val="00DB4BB2"/>
    <w:rsid w:val="00DC50DC"/>
    <w:rsid w:val="00DC6415"/>
    <w:rsid w:val="00DD00F3"/>
    <w:rsid w:val="00DD65CA"/>
    <w:rsid w:val="00DE105D"/>
    <w:rsid w:val="00DE1FCF"/>
    <w:rsid w:val="00DE21CE"/>
    <w:rsid w:val="00DE3E25"/>
    <w:rsid w:val="00DE73A3"/>
    <w:rsid w:val="00E03681"/>
    <w:rsid w:val="00E11C94"/>
    <w:rsid w:val="00E11F4F"/>
    <w:rsid w:val="00E329A7"/>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28C8"/>
    <w:rsid w:val="00EC4F18"/>
    <w:rsid w:val="00ED0F94"/>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FA1500"/>
  <w15:docId w15:val="{A76519A5-7DA1-4DBF-ADF7-3C14E884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apple-converted-space">
    <w:name w:val="apple-converted-space"/>
    <w:basedOn w:val="DefaultParagraphFont"/>
    <w:rsid w:val="008F21F3"/>
  </w:style>
  <w:style w:type="character" w:styleId="CommentReference">
    <w:name w:val="annotation reference"/>
    <w:basedOn w:val="DefaultParagraphFont"/>
    <w:uiPriority w:val="99"/>
    <w:semiHidden/>
    <w:unhideWhenUsed/>
    <w:rsid w:val="007A3CA5"/>
    <w:rPr>
      <w:sz w:val="16"/>
      <w:szCs w:val="16"/>
    </w:rPr>
  </w:style>
  <w:style w:type="paragraph" w:styleId="CommentText">
    <w:name w:val="annotation text"/>
    <w:basedOn w:val="Normal"/>
    <w:link w:val="CommentTextChar"/>
    <w:uiPriority w:val="99"/>
    <w:semiHidden/>
    <w:unhideWhenUsed/>
    <w:rsid w:val="007A3CA5"/>
    <w:rPr>
      <w:sz w:val="20"/>
      <w:szCs w:val="20"/>
    </w:rPr>
  </w:style>
  <w:style w:type="character" w:customStyle="1" w:styleId="CommentTextChar">
    <w:name w:val="Comment Text Char"/>
    <w:basedOn w:val="DefaultParagraphFont"/>
    <w:link w:val="CommentText"/>
    <w:uiPriority w:val="99"/>
    <w:semiHidden/>
    <w:rsid w:val="007A3CA5"/>
    <w:rPr>
      <w:lang w:val="en-US" w:eastAsia="en-US"/>
    </w:rPr>
  </w:style>
  <w:style w:type="paragraph" w:styleId="CommentSubject">
    <w:name w:val="annotation subject"/>
    <w:basedOn w:val="CommentText"/>
    <w:next w:val="CommentText"/>
    <w:link w:val="CommentSubjectChar"/>
    <w:uiPriority w:val="99"/>
    <w:semiHidden/>
    <w:unhideWhenUsed/>
    <w:rsid w:val="007A3CA5"/>
    <w:rPr>
      <w:b/>
      <w:bCs/>
    </w:rPr>
  </w:style>
  <w:style w:type="character" w:customStyle="1" w:styleId="CommentSubjectChar">
    <w:name w:val="Comment Subject Char"/>
    <w:basedOn w:val="CommentTextChar"/>
    <w:link w:val="CommentSubject"/>
    <w:uiPriority w:val="99"/>
    <w:semiHidden/>
    <w:rsid w:val="007A3CA5"/>
    <w:rPr>
      <w:b/>
      <w:bCs/>
      <w:lang w:val="en-US" w:eastAsia="en-US"/>
    </w:rPr>
  </w:style>
  <w:style w:type="table" w:styleId="TableGrid">
    <w:name w:val="Table Grid"/>
    <w:basedOn w:val="TableNormal"/>
    <w:uiPriority w:val="59"/>
    <w:unhideWhenUsed/>
    <w:rsid w:val="00370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289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reuze@cgiar.org" TargetMode="External"/><Relationship Id="rId13" Type="http://schemas.openxmlformats.org/officeDocument/2006/relationships/hyperlink" Target="mailto:m.pearson@auckland.ac.nz" TargetMode="External"/><Relationship Id="rId18" Type="http://schemas.openxmlformats.org/officeDocument/2006/relationships/hyperlink" Target="http://www.ictvonline.org/subcommittees.asp"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Wulf.Menzel@dsmz.de" TargetMode="External"/><Relationship Id="rId17" Type="http://schemas.openxmlformats.org/officeDocument/2006/relationships/hyperlink" Target="mailto:j.kreuze@cgiar.org" TargetMode="External"/><Relationship Id="rId2" Type="http://schemas.openxmlformats.org/officeDocument/2006/relationships/styles" Target="styles.xml"/><Relationship Id="rId16" Type="http://schemas.openxmlformats.org/officeDocument/2006/relationships/hyperlink" Target="mailto:yoshikawa@iwate-u.ac.jp" TargetMode="External"/><Relationship Id="rId20" Type="http://schemas.openxmlformats.org/officeDocument/2006/relationships/image" Target="media/image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Hammond@ARS.USDA.GOV"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a.vaira@ivv.cnr.it" TargetMode="External"/><Relationship Id="rId23" Type="http://schemas.openxmlformats.org/officeDocument/2006/relationships/fontTable" Target="fontTable.xml"/><Relationship Id="rId10" Type="http://schemas.openxmlformats.org/officeDocument/2006/relationships/hyperlink" Target="mailto:tc@bordeaux.inra.fr" TargetMode="External"/><Relationship Id="rId19"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mike.adams.ictv@gmail.com" TargetMode="External"/><Relationship Id="rId14" Type="http://schemas.openxmlformats.org/officeDocument/2006/relationships/hyperlink" Target="mailto:p.saldarelli@ba.ivv.cnr.it"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1909</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12766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2017-06-24T06:10:00Z</dcterms:created>
  <dcterms:modified xsi:type="dcterms:W3CDTF">2017-06-24T06:10:00Z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