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900D69" w:rsidRPr="00C95FB7" w14:paraId="3BAAFFE7" w14:textId="77777777" w:rsidTr="00545CE0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900D69" w:rsidRPr="007E667B" w:rsidRDefault="00900D69" w:rsidP="00900D69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7F2F4554" w:rsidR="00900D69" w:rsidRPr="001D0007" w:rsidRDefault="00900D69" w:rsidP="00900D69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8E10E4">
              <w:rPr>
                <w:rFonts w:ascii="Aptos" w:eastAsia="Aptos" w:hAnsi="Aptos" w:cs="Aptos"/>
                <w:sz w:val="20"/>
                <w:szCs w:val="20"/>
              </w:rPr>
              <w:t xml:space="preserve">Create </w:t>
            </w:r>
            <w:r>
              <w:rPr>
                <w:rFonts w:ascii="Aptos" w:eastAsia="Aptos" w:hAnsi="Aptos" w:cs="Aptos"/>
                <w:sz w:val="20"/>
                <w:szCs w:val="20"/>
              </w:rPr>
              <w:t>one</w:t>
            </w:r>
            <w:r w:rsidRPr="008E10E4">
              <w:rPr>
                <w:rFonts w:ascii="Aptos" w:eastAsia="Aptos" w:hAnsi="Aptos" w:cs="Aptos"/>
                <w:sz w:val="20"/>
                <w:szCs w:val="20"/>
              </w:rPr>
              <w:t xml:space="preserve"> new species in the genus</w:t>
            </w:r>
            <w:r w:rsidRPr="008E10E4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i/>
                <w:sz w:val="20"/>
                <w:szCs w:val="20"/>
              </w:rPr>
              <w:t>Benyvirus</w:t>
            </w:r>
            <w:proofErr w:type="spellEnd"/>
            <w:r w:rsidRPr="008E10E4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r w:rsidRPr="00373910">
              <w:rPr>
                <w:rFonts w:ascii="Aptos" w:eastAsia="Aptos" w:hAnsi="Aptos" w:cs="Aptos"/>
                <w:iCs/>
                <w:sz w:val="20"/>
                <w:szCs w:val="20"/>
              </w:rPr>
              <w:t>(</w:t>
            </w:r>
            <w:proofErr w:type="spellStart"/>
            <w:r w:rsidRPr="00533B25">
              <w:rPr>
                <w:rFonts w:ascii="Aptos" w:eastAsia="Aptos" w:hAnsi="Aptos" w:cs="Aptos"/>
                <w:i/>
                <w:sz w:val="20"/>
                <w:szCs w:val="20"/>
              </w:rPr>
              <w:t>Hepelivirales</w:t>
            </w:r>
            <w:proofErr w:type="spellEnd"/>
            <w:r w:rsidRPr="00B541E7">
              <w:rPr>
                <w:rFonts w:ascii="Aptos" w:eastAsia="Aptos" w:hAnsi="Aptos" w:cs="Aptos"/>
                <w:iCs/>
                <w:sz w:val="20"/>
                <w:szCs w:val="20"/>
              </w:rPr>
              <w:t>:</w:t>
            </w:r>
            <w:r w:rsidRPr="008E10E4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i/>
                <w:sz w:val="20"/>
                <w:szCs w:val="20"/>
              </w:rPr>
              <w:t>Benyviridae</w:t>
            </w:r>
            <w:proofErr w:type="spellEnd"/>
            <w:r w:rsidRPr="00373910">
              <w:rPr>
                <w:rFonts w:ascii="Aptos" w:eastAsia="Aptos" w:hAnsi="Aptos" w:cs="Aptos"/>
                <w:iCs/>
                <w:sz w:val="20"/>
                <w:szCs w:val="20"/>
              </w:rPr>
              <w:t>)</w:t>
            </w:r>
          </w:p>
        </w:tc>
      </w:tr>
      <w:tr w:rsidR="00900D69" w:rsidRPr="00C95FB7" w14:paraId="6479468A" w14:textId="77777777" w:rsidTr="00545CE0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900D69" w:rsidRPr="00C95FB7" w:rsidRDefault="00900D69" w:rsidP="00900D69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29250DD" w:rsidR="00900D69" w:rsidRPr="00AD5A3A" w:rsidRDefault="00545CE0" w:rsidP="00900D69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545CE0">
              <w:rPr>
                <w:rFonts w:ascii="Aptos" w:eastAsia="Aptos" w:hAnsi="Aptos" w:cs="Aptos"/>
                <w:iCs/>
                <w:color w:val="000000"/>
                <w:sz w:val="20"/>
                <w:lang w:val="pt-BR"/>
              </w:rPr>
              <w:t>2025.005P.Benyviridae_Benyvirus_1nsp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D1AECA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2CF6227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D237E22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55AADC9B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900D69" w14:paraId="24E4F537" w14:textId="79E9BB15" w:rsidTr="00CE5395">
        <w:tc>
          <w:tcPr>
            <w:tcW w:w="1838" w:type="dxa"/>
            <w:shd w:val="clear" w:color="auto" w:fill="FFFFFF" w:themeFill="background1"/>
          </w:tcPr>
          <w:p w14:paraId="6EA9DED5" w14:textId="06D4D085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Juliana B. </w:t>
            </w:r>
          </w:p>
        </w:tc>
        <w:tc>
          <w:tcPr>
            <w:tcW w:w="1418" w:type="dxa"/>
            <w:shd w:val="clear" w:color="auto" w:fill="FFFFFF" w:themeFill="background1"/>
          </w:tcPr>
          <w:p w14:paraId="2759B022" w14:textId="2D50395D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Valente</w:t>
            </w:r>
          </w:p>
        </w:tc>
        <w:tc>
          <w:tcPr>
            <w:tcW w:w="2835" w:type="dxa"/>
            <w:shd w:val="clear" w:color="auto" w:fill="FFFFFF" w:themeFill="background1"/>
          </w:tcPr>
          <w:p w14:paraId="05D68F1D" w14:textId="42CF30DC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CF739" w14:textId="4AFA9EBB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57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julianabvalente@hotmail.com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2E60C91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25991084" w14:textId="1F2FA2C1" w:rsidTr="00CE5395">
        <w:tc>
          <w:tcPr>
            <w:tcW w:w="1838" w:type="dxa"/>
          </w:tcPr>
          <w:p w14:paraId="7E9FF899" w14:textId="79B55D5A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Fernando P. </w:t>
            </w:r>
          </w:p>
        </w:tc>
        <w:tc>
          <w:tcPr>
            <w:tcW w:w="1418" w:type="dxa"/>
          </w:tcPr>
          <w:p w14:paraId="065089F1" w14:textId="3DCB4B38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Sartori</w:t>
            </w:r>
          </w:p>
        </w:tc>
        <w:tc>
          <w:tcPr>
            <w:tcW w:w="2835" w:type="dxa"/>
          </w:tcPr>
          <w:p w14:paraId="5A10F992" w14:textId="21922F08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</w:tcPr>
          <w:p w14:paraId="584336C5" w14:textId="0BA83D76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fernandopereira2254@hotmail.com</w:t>
            </w:r>
          </w:p>
        </w:tc>
        <w:tc>
          <w:tcPr>
            <w:tcW w:w="1106" w:type="dxa"/>
            <w:vAlign w:val="center"/>
          </w:tcPr>
          <w:p w14:paraId="01837D6A" w14:textId="61C52A51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B668FB3" w14:textId="2C6F00EF" w:rsidTr="00CE5395">
        <w:tc>
          <w:tcPr>
            <w:tcW w:w="1838" w:type="dxa"/>
          </w:tcPr>
          <w:p w14:paraId="7C1B4F79" w14:textId="3B11710C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Lucas A. </w:t>
            </w:r>
          </w:p>
        </w:tc>
        <w:tc>
          <w:tcPr>
            <w:tcW w:w="1418" w:type="dxa"/>
          </w:tcPr>
          <w:p w14:paraId="5E41446B" w14:textId="272A9AB3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57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Stempkowski</w:t>
            </w:r>
          </w:p>
        </w:tc>
        <w:tc>
          <w:tcPr>
            <w:tcW w:w="2835" w:type="dxa"/>
          </w:tcPr>
          <w:p w14:paraId="3EC4C5A6" w14:textId="002307D9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</w:tcPr>
          <w:p w14:paraId="1DDF5257" w14:textId="504A7CF5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lucas_stempkowski@hotmail.com </w:t>
            </w:r>
          </w:p>
        </w:tc>
        <w:tc>
          <w:tcPr>
            <w:tcW w:w="1106" w:type="dxa"/>
            <w:vAlign w:val="center"/>
          </w:tcPr>
          <w:p w14:paraId="398397DC" w14:textId="63F54794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EC2C947" w14:textId="08659965" w:rsidTr="00CE5395">
        <w:tc>
          <w:tcPr>
            <w:tcW w:w="1838" w:type="dxa"/>
          </w:tcPr>
          <w:p w14:paraId="48A3936E" w14:textId="287D877E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Monica</w:t>
            </w:r>
          </w:p>
        </w:tc>
        <w:tc>
          <w:tcPr>
            <w:tcW w:w="1418" w:type="dxa"/>
          </w:tcPr>
          <w:p w14:paraId="2BEC470C" w14:textId="72C3A4AB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Farias</w:t>
            </w:r>
          </w:p>
        </w:tc>
        <w:tc>
          <w:tcPr>
            <w:tcW w:w="2835" w:type="dxa"/>
          </w:tcPr>
          <w:p w14:paraId="465BAECA" w14:textId="5AF0BD50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</w:tcPr>
          <w:p w14:paraId="464D4E54" w14:textId="54A89978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fariasmonicaagro@gmail.com </w:t>
            </w:r>
          </w:p>
        </w:tc>
        <w:tc>
          <w:tcPr>
            <w:tcW w:w="1106" w:type="dxa"/>
            <w:vAlign w:val="center"/>
          </w:tcPr>
          <w:p w14:paraId="3CBA77FB" w14:textId="2B04C666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E87AB62" w14:textId="5899AC2D" w:rsidTr="00CE5395">
        <w:tc>
          <w:tcPr>
            <w:tcW w:w="1838" w:type="dxa"/>
          </w:tcPr>
          <w:p w14:paraId="31B07DB0" w14:textId="5691214A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Paulo R. </w:t>
            </w:r>
          </w:p>
        </w:tc>
        <w:tc>
          <w:tcPr>
            <w:tcW w:w="1418" w:type="dxa"/>
          </w:tcPr>
          <w:p w14:paraId="007E1446" w14:textId="18B706C0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57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Kuhnem</w:t>
            </w:r>
            <w:proofErr w:type="spellEnd"/>
          </w:p>
        </w:tc>
        <w:tc>
          <w:tcPr>
            <w:tcW w:w="2835" w:type="dxa"/>
          </w:tcPr>
          <w:p w14:paraId="5AD29B0F" w14:textId="609B89B8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Biotrigo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Genética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Brazil</w:t>
            </w:r>
          </w:p>
        </w:tc>
        <w:tc>
          <w:tcPr>
            <w:tcW w:w="2126" w:type="dxa"/>
          </w:tcPr>
          <w:p w14:paraId="5C936B49" w14:textId="631481F5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paulo@biotrigo.com.br </w:t>
            </w:r>
          </w:p>
        </w:tc>
        <w:tc>
          <w:tcPr>
            <w:tcW w:w="1106" w:type="dxa"/>
            <w:vAlign w:val="center"/>
          </w:tcPr>
          <w:p w14:paraId="1A6F2BF1" w14:textId="713BF4F1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4EB04DC5" w14:textId="35F57E1D" w:rsidTr="00CE5395">
        <w:tc>
          <w:tcPr>
            <w:tcW w:w="1838" w:type="dxa"/>
          </w:tcPr>
          <w:p w14:paraId="55C69C9A" w14:textId="408AB8AF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Douglas</w:t>
            </w:r>
          </w:p>
        </w:tc>
        <w:tc>
          <w:tcPr>
            <w:tcW w:w="1418" w:type="dxa"/>
          </w:tcPr>
          <w:p w14:paraId="4874EED5" w14:textId="24DBEF9C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Lau</w:t>
            </w:r>
          </w:p>
        </w:tc>
        <w:tc>
          <w:tcPr>
            <w:tcW w:w="2835" w:type="dxa"/>
          </w:tcPr>
          <w:p w14:paraId="3F729D28" w14:textId="49FF3009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612B1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Empresa Brasileira de Pesquisa Agropecuária, Embrapa Florestas, Brazil</w:t>
            </w:r>
          </w:p>
        </w:tc>
        <w:tc>
          <w:tcPr>
            <w:tcW w:w="2126" w:type="dxa"/>
          </w:tcPr>
          <w:p w14:paraId="2B03DFE0" w14:textId="24CA8D64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426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douglas.lau@embrapa.br</w:t>
            </w:r>
          </w:p>
        </w:tc>
        <w:tc>
          <w:tcPr>
            <w:tcW w:w="1106" w:type="dxa"/>
            <w:vAlign w:val="center"/>
          </w:tcPr>
          <w:p w14:paraId="25F3F5E7" w14:textId="2430C31B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2F0A23D4" w14:textId="1B2D70D1" w:rsidTr="00CE5395">
        <w:trPr>
          <w:trHeight w:val="63"/>
        </w:trPr>
        <w:tc>
          <w:tcPr>
            <w:tcW w:w="1838" w:type="dxa"/>
          </w:tcPr>
          <w:p w14:paraId="5CA45DA6" w14:textId="24840BF0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bCs/>
                <w:color w:val="000000" w:themeColor="text1"/>
                <w:sz w:val="18"/>
                <w:szCs w:val="18"/>
              </w:rPr>
              <w:t>Thor V.M.</w:t>
            </w:r>
          </w:p>
        </w:tc>
        <w:tc>
          <w:tcPr>
            <w:tcW w:w="1418" w:type="dxa"/>
          </w:tcPr>
          <w:p w14:paraId="696661A7" w14:textId="78CACEF9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Fajardo</w:t>
            </w:r>
          </w:p>
        </w:tc>
        <w:tc>
          <w:tcPr>
            <w:tcW w:w="2835" w:type="dxa"/>
          </w:tcPr>
          <w:p w14:paraId="28A99667" w14:textId="5DE29B17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612B1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Empresa Brasileira de Pesquisa Agropecuária, Embrapa Uva e Vinho, Brazil</w:t>
            </w:r>
          </w:p>
        </w:tc>
        <w:tc>
          <w:tcPr>
            <w:tcW w:w="2126" w:type="dxa"/>
          </w:tcPr>
          <w:p w14:paraId="099EF2B3" w14:textId="77777777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thor.fajardo@embrapa.br</w:t>
            </w:r>
          </w:p>
          <w:p w14:paraId="0CFBB2E1" w14:textId="77777777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557AB3EC" w14:textId="7845BEC8" w:rsidTr="00CE5395">
        <w:trPr>
          <w:trHeight w:val="63"/>
        </w:trPr>
        <w:tc>
          <w:tcPr>
            <w:tcW w:w="1838" w:type="dxa"/>
          </w:tcPr>
          <w:p w14:paraId="246CA457" w14:textId="17733007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Antonio</w:t>
            </w:r>
          </w:p>
        </w:tc>
        <w:tc>
          <w:tcPr>
            <w:tcW w:w="1418" w:type="dxa"/>
          </w:tcPr>
          <w:p w14:paraId="4E4148F7" w14:textId="390642E7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Nhani Junior</w:t>
            </w:r>
          </w:p>
        </w:tc>
        <w:tc>
          <w:tcPr>
            <w:tcW w:w="2835" w:type="dxa"/>
          </w:tcPr>
          <w:p w14:paraId="76E95799" w14:textId="5964A8AE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612B1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Empresa Brasileira de Pesquisa Agropecuária, Embrapa Informática, Brazil</w:t>
            </w:r>
          </w:p>
        </w:tc>
        <w:tc>
          <w:tcPr>
            <w:tcW w:w="2126" w:type="dxa"/>
          </w:tcPr>
          <w:p w14:paraId="70D2790C" w14:textId="31D16770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antonio.nhani@embrapa.br </w:t>
            </w:r>
          </w:p>
        </w:tc>
        <w:tc>
          <w:tcPr>
            <w:tcW w:w="1106" w:type="dxa"/>
            <w:vAlign w:val="center"/>
          </w:tcPr>
          <w:p w14:paraId="26B4F1E6" w14:textId="541D7C50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B84DF07" w14:textId="77777777" w:rsidTr="00CE5395">
        <w:trPr>
          <w:trHeight w:val="63"/>
        </w:trPr>
        <w:tc>
          <w:tcPr>
            <w:tcW w:w="1838" w:type="dxa"/>
          </w:tcPr>
          <w:p w14:paraId="5B77EFA8" w14:textId="536CD201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Ricardo T.</w:t>
            </w:r>
          </w:p>
        </w:tc>
        <w:tc>
          <w:tcPr>
            <w:tcW w:w="1418" w:type="dxa"/>
          </w:tcPr>
          <w:p w14:paraId="2331E171" w14:textId="10C14EA0" w:rsidR="00900D69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Casa</w:t>
            </w:r>
          </w:p>
        </w:tc>
        <w:tc>
          <w:tcPr>
            <w:tcW w:w="2835" w:type="dxa"/>
          </w:tcPr>
          <w:p w14:paraId="4BA2649F" w14:textId="05A80790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14:paraId="2FFB06EC" w14:textId="497A062F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ricardo.casa@udesc.br </w:t>
            </w:r>
          </w:p>
        </w:tc>
        <w:tc>
          <w:tcPr>
            <w:tcW w:w="1106" w:type="dxa"/>
            <w:vAlign w:val="center"/>
          </w:tcPr>
          <w:p w14:paraId="4C45596F" w14:textId="77777777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31915382" w14:textId="77777777" w:rsidTr="00CE5395">
        <w:trPr>
          <w:trHeight w:val="63"/>
        </w:trPr>
        <w:tc>
          <w:tcPr>
            <w:tcW w:w="1838" w:type="dxa"/>
          </w:tcPr>
          <w:p w14:paraId="24103A54" w14:textId="2F3D8043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Amauri</w:t>
            </w:r>
          </w:p>
        </w:tc>
        <w:tc>
          <w:tcPr>
            <w:tcW w:w="1418" w:type="dxa"/>
          </w:tcPr>
          <w:p w14:paraId="1D9A7A57" w14:textId="656E629A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Bogo</w:t>
            </w:r>
          </w:p>
        </w:tc>
        <w:tc>
          <w:tcPr>
            <w:tcW w:w="2835" w:type="dxa"/>
          </w:tcPr>
          <w:p w14:paraId="4A541C91" w14:textId="1A36C574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14:paraId="17D8D306" w14:textId="694C1263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amauri.bogo@udesc.br</w:t>
            </w:r>
          </w:p>
        </w:tc>
        <w:tc>
          <w:tcPr>
            <w:tcW w:w="1106" w:type="dxa"/>
            <w:vAlign w:val="center"/>
          </w:tcPr>
          <w:p w14:paraId="742459AE" w14:textId="77777777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516AEC56" w14:textId="77777777" w:rsidTr="00CE5395">
        <w:trPr>
          <w:trHeight w:val="63"/>
        </w:trPr>
        <w:tc>
          <w:tcPr>
            <w:tcW w:w="1838" w:type="dxa"/>
          </w:tcPr>
          <w:p w14:paraId="60326D7E" w14:textId="0DF97E68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Fábio N.</w:t>
            </w:r>
          </w:p>
        </w:tc>
        <w:tc>
          <w:tcPr>
            <w:tcW w:w="1418" w:type="dxa"/>
          </w:tcPr>
          <w:p w14:paraId="099F67CC" w14:textId="3773031F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Silva</w:t>
            </w:r>
          </w:p>
        </w:tc>
        <w:tc>
          <w:tcPr>
            <w:tcW w:w="2835" w:type="dxa"/>
          </w:tcPr>
          <w:p w14:paraId="435DBB9A" w14:textId="4241B813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14:paraId="7DF2C926" w14:textId="266A4D96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fabio.silva@udesc.br</w:t>
            </w:r>
          </w:p>
        </w:tc>
        <w:tc>
          <w:tcPr>
            <w:tcW w:w="1106" w:type="dxa"/>
            <w:vAlign w:val="center"/>
          </w:tcPr>
          <w:p w14:paraId="661BBE93" w14:textId="6715FAAE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13EE2C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7AB5B9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53E4A563" w:rsidR="00D062BE" w:rsidRDefault="00900D6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96DBAC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1A3623F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F4EC4CB" w14:textId="50AACC1F" w:rsidR="0072682D" w:rsidRPr="000C5189" w:rsidRDefault="00612B1F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Virgaviridae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12B1F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2B1F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E454C1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07348D0C" w:rsidR="00BE4F5A" w:rsidRPr="00612B1F" w:rsidRDefault="00F21474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Virgaviridae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12B1F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2B1F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</w:tc>
        <w:tc>
          <w:tcPr>
            <w:tcW w:w="1984" w:type="dxa"/>
          </w:tcPr>
          <w:p w14:paraId="7D842500" w14:textId="4365A4D7" w:rsidR="00BE4F5A" w:rsidRPr="00C95FB7" w:rsidRDefault="00612B1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2D71B54E" w:rsidR="00BE4F5A" w:rsidRPr="00C95FB7" w:rsidRDefault="00612B1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17985CA5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900D69">
              <w:rPr>
                <w:rFonts w:ascii="Aptos" w:hAnsi="Aptos" w:cs="Arial"/>
                <w:bCs/>
                <w:sz w:val="20"/>
                <w:szCs w:val="20"/>
              </w:rPr>
              <w:t>03/06/2025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B26D88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3112C97B" w:rsidR="000A7027" w:rsidRDefault="00776F5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17BDFC22" w14:textId="7B2F49EE" w:rsidR="001E159A" w:rsidRDefault="001E159A" w:rsidP="001E159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Uc for this proposal (see the table above for explanation). Before the proposal can be accepted, the following points should be addressed:</w:t>
            </w:r>
          </w:p>
          <w:p w14:paraId="0D08DBBD" w14:textId="47E54F07" w:rsidR="001E159A" w:rsidRPr="001E159A" w:rsidRDefault="001E159A" w:rsidP="001E159A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1E159A">
              <w:rPr>
                <w:rFonts w:ascii="Aptos" w:hAnsi="Aptos"/>
                <w:sz w:val="20"/>
                <w:szCs w:val="20"/>
              </w:rPr>
              <w:t xml:space="preserve">Please clarify if figures have been reproduced with permission; </w:t>
            </w:r>
            <w:r>
              <w:rPr>
                <w:rFonts w:ascii="Aptos" w:hAnsi="Aptos"/>
                <w:sz w:val="20"/>
                <w:szCs w:val="20"/>
              </w:rPr>
              <w:t>if not, new figures should be produced.</w:t>
            </w:r>
          </w:p>
          <w:p w14:paraId="27E28EFE" w14:textId="317B95D0" w:rsidR="001E159A" w:rsidRPr="001E159A" w:rsidRDefault="001E159A" w:rsidP="001E159A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new tree including SINV (</w:t>
            </w:r>
            <w:proofErr w:type="spellStart"/>
            <w:r w:rsidRPr="001E159A">
              <w:rPr>
                <w:rFonts w:ascii="Aptos" w:hAnsi="Aptos"/>
                <w:i/>
                <w:sz w:val="20"/>
                <w:szCs w:val="20"/>
              </w:rPr>
              <w:t>Togaviridae</w:t>
            </w:r>
            <w:proofErr w:type="spellEnd"/>
            <w:r w:rsidRPr="001E159A">
              <w:rPr>
                <w:rFonts w:ascii="Aptos" w:hAnsi="Aptos"/>
                <w:sz w:val="20"/>
                <w:szCs w:val="20"/>
              </w:rPr>
              <w:t>) instead of RUBV should be prepared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39947BFE" w14:textId="45066D69" w:rsidR="001E159A" w:rsidRPr="001E159A" w:rsidRDefault="001E159A" w:rsidP="001E159A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</w:t>
            </w:r>
            <w:r w:rsidRPr="001E159A">
              <w:rPr>
                <w:rFonts w:ascii="Aptos" w:hAnsi="Aptos"/>
                <w:sz w:val="20"/>
                <w:szCs w:val="20"/>
              </w:rPr>
              <w:t>he paragraph concerning the KTER motif should be modified considering th</w:t>
            </w:r>
            <w:r>
              <w:rPr>
                <w:rFonts w:ascii="Aptos" w:hAnsi="Aptos"/>
                <w:sz w:val="20"/>
                <w:szCs w:val="20"/>
              </w:rPr>
              <w:t>a</w:t>
            </w:r>
            <w:r w:rsidRPr="001E159A">
              <w:rPr>
                <w:rFonts w:ascii="Aptos" w:hAnsi="Aptos"/>
                <w:sz w:val="20"/>
                <w:szCs w:val="20"/>
              </w:rPr>
              <w:t>t the KTER motif was not found in RSNV</w:t>
            </w:r>
            <w:r>
              <w:rPr>
                <w:rFonts w:ascii="Aptos" w:hAnsi="Aptos"/>
                <w:sz w:val="20"/>
                <w:szCs w:val="20"/>
              </w:rPr>
              <w:t>;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linking this to </w:t>
            </w:r>
            <w:proofErr w:type="spellStart"/>
            <w:r w:rsidRPr="000E44FB">
              <w:rPr>
                <w:rFonts w:ascii="Aptos" w:hAnsi="Aptos"/>
                <w:i/>
                <w:iCs/>
                <w:sz w:val="20"/>
                <w:szCs w:val="20"/>
              </w:rPr>
              <w:t>Polymyxa</w:t>
            </w:r>
            <w:proofErr w:type="spellEnd"/>
            <w:r w:rsidRPr="000E44FB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44FB">
              <w:rPr>
                <w:rFonts w:ascii="Aptos" w:hAnsi="Aptos"/>
                <w:i/>
                <w:iCs/>
                <w:sz w:val="20"/>
                <w:szCs w:val="20"/>
              </w:rPr>
              <w:t>graminis</w:t>
            </w:r>
            <w:proofErr w:type="spellEnd"/>
            <w:r w:rsidRPr="001E159A">
              <w:rPr>
                <w:rFonts w:ascii="Aptos" w:hAnsi="Aptos"/>
                <w:sz w:val="20"/>
                <w:szCs w:val="20"/>
              </w:rPr>
              <w:t xml:space="preserve"> transmission is not verified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10659153" w14:textId="1E11E828" w:rsidR="001E159A" w:rsidRPr="00FC2652" w:rsidRDefault="001E159A" w:rsidP="001E159A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1E159A">
              <w:rPr>
                <w:rFonts w:ascii="Aptos" w:hAnsi="Aptos"/>
                <w:sz w:val="20"/>
                <w:szCs w:val="20"/>
              </w:rPr>
              <w:t xml:space="preserve">Mangifera indica latent virus does not belong to a recognized species in the family </w:t>
            </w:r>
            <w:proofErr w:type="spellStart"/>
            <w:r w:rsidRPr="001E159A">
              <w:rPr>
                <w:rFonts w:ascii="Aptos" w:hAnsi="Aptos"/>
                <w:i/>
                <w:sz w:val="20"/>
                <w:szCs w:val="20"/>
              </w:rPr>
              <w:t>Benyviridae</w:t>
            </w:r>
            <w:proofErr w:type="spellEnd"/>
            <w:r>
              <w:rPr>
                <w:rFonts w:ascii="Aptos" w:hAnsi="Aptos"/>
                <w:i/>
                <w:sz w:val="20"/>
                <w:szCs w:val="20"/>
              </w:rPr>
              <w:t>.</w:t>
            </w:r>
          </w:p>
          <w:p w14:paraId="2EEC2103" w14:textId="522D19C6" w:rsidR="00FC2652" w:rsidRPr="00FC2652" w:rsidRDefault="00FC2652" w:rsidP="001E159A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FC2652">
              <w:rPr>
                <w:rFonts w:ascii="Aptos" w:eastAsiaTheme="minorHAnsi" w:hAnsi="Aptos" w:cs="Helvetica"/>
                <w:sz w:val="20"/>
                <w:szCs w:val="20"/>
                <w:lang w:val="it-IT"/>
              </w:rPr>
              <w:t>Please check if there is an inversion between the replicase and first triple gene block (b and c, or c and b)</w:t>
            </w:r>
            <w:r>
              <w:rPr>
                <w:rFonts w:ascii="Aptos" w:eastAsiaTheme="minorHAnsi" w:hAnsi="Aptos" w:cs="Helvetica"/>
                <w:sz w:val="20"/>
                <w:szCs w:val="20"/>
                <w:lang w:val="it-IT"/>
              </w:rPr>
              <w:t xml:space="preserve"> in Figure 3.</w:t>
            </w:r>
          </w:p>
          <w:p w14:paraId="42899549" w14:textId="77777777" w:rsidR="001E159A" w:rsidRDefault="001E159A" w:rsidP="001E159A">
            <w:pPr>
              <w:widowControl w:val="0"/>
              <w:spacing w:line="276" w:lineRule="auto"/>
              <w:ind w:left="360"/>
              <w:rPr>
                <w:rFonts w:ascii="Aptos" w:hAnsi="Aptos"/>
                <w:sz w:val="20"/>
                <w:szCs w:val="20"/>
              </w:rPr>
            </w:pPr>
          </w:p>
          <w:p w14:paraId="1958B433" w14:textId="42A52346" w:rsidR="000A7027" w:rsidRPr="00C95FB7" w:rsidRDefault="001E159A" w:rsidP="00F5280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Additional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comments are reported in </w:t>
            </w:r>
            <w:r>
              <w:rPr>
                <w:rFonts w:ascii="Aptos" w:hAnsi="Aptos"/>
                <w:sz w:val="20"/>
                <w:szCs w:val="20"/>
              </w:rPr>
              <w:t>the text.</w:t>
            </w:r>
            <w:r>
              <w:rPr>
                <w:rFonts w:ascii="Aptos" w:hAnsi="Aptos" w:cs="Arial"/>
                <w:sz w:val="20"/>
                <w:szCs w:val="20"/>
              </w:rPr>
              <w:t xml:space="preserve"> Moreover, minor revisions mainly concerning style issues</w:t>
            </w:r>
            <w:r w:rsidR="007B5D7F">
              <w:rPr>
                <w:rFonts w:ascii="Aptos" w:hAnsi="Aptos" w:cs="Arial"/>
                <w:sz w:val="20"/>
                <w:szCs w:val="20"/>
              </w:rPr>
              <w:t xml:space="preserve"> have been included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2896DDD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CECD9D9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30177EE" w14:textId="5911C5E0" w:rsidR="00296DA3" w:rsidRPr="00C95FB7" w:rsidRDefault="00FE171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E1719">
              <w:rPr>
                <w:rFonts w:ascii="Aptos" w:hAnsi="Aptos" w:cs="Arial"/>
                <w:sz w:val="20"/>
                <w:szCs w:val="20"/>
              </w:rPr>
              <w:t>All corrections and suggestions have been implemented as recommended. New figures have been prepared and included.</w:t>
            </w: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39F52AD3" w:rsidR="00BE4F5A" w:rsidRDefault="004317C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15/10/2025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5F612C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7ACD659A" w14:textId="77777777" w:rsidR="00B5602F" w:rsidRDefault="00B5602F" w:rsidP="00432969">
      <w:pPr>
        <w:rPr>
          <w:rFonts w:ascii="Aptos" w:hAnsi="Aptos" w:cs="Arial"/>
          <w:b/>
          <w:color w:val="000000"/>
          <w:sz w:val="20"/>
        </w:rPr>
      </w:pPr>
    </w:p>
    <w:p w14:paraId="48DB7F5D" w14:textId="25E26F1D" w:rsidR="00953FFE" w:rsidRPr="00432969" w:rsidRDefault="00953FFE" w:rsidP="00432969">
      <w:pPr>
        <w:rPr>
          <w:rFonts w:ascii="Aptos" w:hAnsi="Aptos"/>
          <w:sz w:val="20"/>
          <w:szCs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5B65DB5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035975D" w:rsidR="00953FFE" w:rsidRDefault="0043296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4A2176B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0515404E" w:rsidR="00333392" w:rsidRPr="00040CB0" w:rsidRDefault="007B5D7F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“</w:t>
            </w:r>
            <w:proofErr w:type="spellStart"/>
            <w:r w:rsidR="00432969"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432969"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2969"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tritici</w:t>
            </w:r>
            <w:proofErr w:type="spellEnd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131E951B" w:rsidR="00333392" w:rsidRPr="00432969" w:rsidRDefault="00432969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Epithet derived f</w:t>
            </w:r>
            <w:r w:rsidRPr="0043296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rom the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host genus name </w:t>
            </w:r>
            <w:r w:rsidRPr="0043296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Triticum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C3C35B6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5CE56EE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4972AA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734FC5F6" w:rsidR="00A77B8E" w:rsidRDefault="0043296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</w:t>
            </w:r>
            <w:r w:rsidR="007B5D7F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7B5D7F" w:rsidRPr="000E44FB">
              <w:rPr>
                <w:rFonts w:ascii="Aptos" w:hAnsi="Aptos" w:cs="Arial"/>
                <w:i/>
                <w:iCs/>
                <w:sz w:val="20"/>
                <w:szCs w:val="20"/>
              </w:rPr>
              <w:t>Benyvirus</w:t>
            </w:r>
            <w:proofErr w:type="spellEnd"/>
            <w:r w:rsidR="007B5D7F">
              <w:rPr>
                <w:rFonts w:ascii="Aptos" w:hAnsi="Aptos" w:cs="Arial"/>
                <w:sz w:val="20"/>
                <w:szCs w:val="20"/>
              </w:rPr>
              <w:t xml:space="preserve"> in the family </w:t>
            </w:r>
            <w:proofErr w:type="spellStart"/>
            <w:r w:rsidR="007B5D7F" w:rsidRPr="000E44FB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2604A64B" w:rsidR="00A77B8E" w:rsidRDefault="00432969" w:rsidP="00DD58AA">
            <w:pPr>
              <w:rPr>
                <w:rFonts w:ascii="Aptos" w:hAnsi="Aptos" w:cs="Arial"/>
                <w:sz w:val="20"/>
                <w:szCs w:val="20"/>
              </w:rPr>
            </w:pPr>
            <w:bookmarkStart w:id="0" w:name="OLE_LINK1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Riboviria</w:t>
            </w:r>
            <w:bookmarkEnd w:id="0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1" w:name="OLE_LINK2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Orthornavirae</w:t>
            </w:r>
            <w:bookmarkEnd w:id="1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2" w:name="OLE_LINK3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Kitrinoviricota</w:t>
            </w:r>
            <w:bookmarkEnd w:id="2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3" w:name="OLE_LINK4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Alsuviricetes</w:t>
            </w:r>
            <w:bookmarkEnd w:id="3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4" w:name="OLE_LINK5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Hepelivirales</w:t>
            </w:r>
            <w:bookmarkEnd w:id="4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Benyviridae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</w:p>
          <w:p w14:paraId="548AECB0" w14:textId="0B51A2BE" w:rsidR="00FC2269" w:rsidRPr="00BE4F5A" w:rsidRDefault="007B5D7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Pr="000E44FB">
              <w:rPr>
                <w:rFonts w:ascii="Aptos" w:hAnsi="Aptos" w:cs="Arial"/>
                <w:i/>
                <w:iCs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consists of four species.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9F2D8F0" w14:textId="517A1505" w:rsidR="00432969" w:rsidRPr="00917602" w:rsidRDefault="00432969" w:rsidP="00432969">
            <w:pPr>
              <w:rPr>
                <w:rFonts w:ascii="Aptos" w:eastAsia="Aptos" w:hAnsi="Aptos" w:cs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one species in the</w:t>
            </w:r>
            <w:r w:rsidRPr="00917602">
              <w:rPr>
                <w:rFonts w:ascii="Aptos" w:eastAsia="Aptos" w:hAnsi="Aptos" w:cs="Aptos"/>
                <w:b/>
                <w:i/>
                <w:sz w:val="20"/>
                <w:szCs w:val="20"/>
              </w:rPr>
              <w:t xml:space="preserve"> 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: “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tritici</w:t>
            </w:r>
            <w:proofErr w:type="spellEnd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5A911F54" w14:textId="275D3352" w:rsidR="00F21474" w:rsidRDefault="00F21474" w:rsidP="00612B1F">
            <w:pPr>
              <w:jc w:val="both"/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Based on the genomic organization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of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graminis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associated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-infected plant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samples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as well as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nucleotide and amino acid sequences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of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the viral isolates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characterized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this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study,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we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propose that wheat stripe mosaic virus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(WHSMV) is classified into a novel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putative species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within the family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, for which the name “</w:t>
            </w:r>
            <w:proofErr w:type="spellStart"/>
            <w:r w:rsidRPr="004329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4329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9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tritici</w:t>
            </w:r>
            <w:proofErr w:type="spellEnd"/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”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is suggested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95B3ACD" w:rsidR="00A77B8E" w:rsidRDefault="00A77B8E" w:rsidP="00432969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432969">
              <w:rPr>
                <w:rFonts w:ascii="Aptos" w:hAnsi="Aptos" w:cs="Arial"/>
                <w:b/>
                <w:color w:val="000000"/>
                <w:sz w:val="20"/>
              </w:rPr>
              <w:t xml:space="preserve">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CBE5628" w14:textId="0D3418F9" w:rsidR="00A77B8E" w:rsidRDefault="007B5D7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 the family </w:t>
            </w:r>
            <w:proofErr w:type="spellStart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  <w:p w14:paraId="661E32C5" w14:textId="77777777" w:rsidR="000E44FB" w:rsidRDefault="000E44F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1D45A86" w14:textId="77777777" w:rsidR="00432969" w:rsidRDefault="00432969" w:rsidP="0043296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Riboviria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Orthornavirae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Kitrinoviricota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Alsuviricetes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Hepelivirales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Benyviridae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C70237" w14:textId="14D9FF88" w:rsidR="007B5D7F" w:rsidRPr="00772B0F" w:rsidRDefault="00432969" w:rsidP="006C06C8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Four species are currently assigned to the </w:t>
            </w:r>
            <w:r w:rsidR="007B5D7F" w:rsidRPr="00917602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7B5D7F" w:rsidRPr="00917602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Benyviridae</w:t>
            </w:r>
            <w:proofErr w:type="spellEnd"/>
            <w:r w:rsidRPr="00917602">
              <w:rPr>
                <w:rFonts w:ascii="Aptos" w:hAnsi="Aptos"/>
                <w:color w:val="000000"/>
                <w:sz w:val="20"/>
                <w:szCs w:val="20"/>
              </w:rPr>
              <w:t>: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arctii</w:t>
            </w:r>
            <w:proofErr w:type="spellEnd"/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,</w:t>
            </w:r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necrobetae</w:t>
            </w:r>
            <w:proofErr w:type="spellEnd"/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,</w:t>
            </w:r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oryzae</w:t>
            </w:r>
            <w:proofErr w:type="spellEnd"/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,</w:t>
            </w:r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solibetae</w:t>
            </w:r>
            <w:proofErr w:type="spellEnd"/>
          </w:p>
          <w:p w14:paraId="685E6240" w14:textId="7C958D01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13112AF" w14:textId="103DE001" w:rsidR="00432969" w:rsidRPr="00917602" w:rsidRDefault="00432969" w:rsidP="00432969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We propose to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create 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one new species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the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genus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,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tritici</w:t>
            </w:r>
            <w:proofErr w:type="spellEnd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AA5F14F" w14:textId="2B23F3F0" w:rsidR="002D692E" w:rsidRDefault="002D692E" w:rsidP="002D692E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current taxonomic criterion used for species demarcation in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is amino acid sequence identity of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the coat protein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CP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&lt;90%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1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].</w:t>
            </w:r>
          </w:p>
          <w:p w14:paraId="26987511" w14:textId="302E2C57" w:rsidR="000920D4" w:rsidRDefault="000920D4" w:rsidP="002D692E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According to t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he current taxonomic criterion for species demarcation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 xml:space="preserve">a virus is considered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as a member of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a distinct species if the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amino acid sequence identity of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its coat protein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CP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) is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&lt;90%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21BBA8B6" w14:textId="4437B578" w:rsidR="00957496" w:rsidRDefault="0040754C" w:rsidP="00612B1F">
            <w:pPr>
              <w:jc w:val="both"/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After </w:t>
            </w:r>
            <w:r w:rsidR="000920D4" w:rsidRPr="00D744A2">
              <w:rPr>
                <w:rFonts w:ascii="Aptos" w:hAnsi="Aptos"/>
                <w:color w:val="000000"/>
                <w:sz w:val="20"/>
                <w:szCs w:val="20"/>
              </w:rPr>
              <w:t>next-generation sequencing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 xml:space="preserve"> (</w:t>
            </w:r>
            <w:r w:rsidR="000920D4" w:rsidRPr="00AE1F7C">
              <w:rPr>
                <w:rFonts w:ascii="Aptos" w:hAnsi="Aptos"/>
                <w:color w:val="000000"/>
                <w:sz w:val="20"/>
                <w:szCs w:val="20"/>
              </w:rPr>
              <w:t>NGS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0920D4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B5D7F" w:rsidRPr="00AE1F7C">
              <w:rPr>
                <w:rFonts w:ascii="Aptos" w:hAnsi="Aptos"/>
                <w:color w:val="000000"/>
                <w:sz w:val="20"/>
                <w:szCs w:val="20"/>
              </w:rPr>
              <w:t>analysis</w:t>
            </w:r>
            <w:r w:rsidR="007B5D7F">
              <w:rPr>
                <w:rFonts w:ascii="Aptos" w:hAnsi="Aptos"/>
                <w:color w:val="000000"/>
                <w:sz w:val="20"/>
                <w:szCs w:val="20"/>
              </w:rPr>
              <w:t>,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the complete genome sequence of a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virus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isolated from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wheat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(</w:t>
            </w:r>
            <w:r w:rsidRPr="0091760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Tri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ticum aestivum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) collected from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Brazil 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>in a fie</w:t>
            </w:r>
            <w:r w:rsidR="001E2A1B">
              <w:rPr>
                <w:rFonts w:ascii="Aptos" w:hAnsi="Aptos"/>
                <w:color w:val="000000"/>
                <w:sz w:val="20"/>
                <w:szCs w:val="20"/>
              </w:rPr>
              <w:t>l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d infested 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 xml:space="preserve">with 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="00347532">
              <w:rPr>
                <w:rFonts w:ascii="Aptos" w:hAnsi="Aptos"/>
                <w:color w:val="000000"/>
                <w:sz w:val="20"/>
                <w:szCs w:val="20"/>
              </w:rPr>
              <w:t>plasmodiophorid</w:t>
            </w:r>
            <w:proofErr w:type="spellEnd"/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7532" w:rsidRPr="0034753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Polymyxa</w:t>
            </w:r>
            <w:proofErr w:type="spellEnd"/>
            <w:r w:rsidR="00347532" w:rsidRPr="0034753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7532" w:rsidRPr="0034753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graminis</w:t>
            </w:r>
            <w:proofErr w:type="spellEnd"/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was determined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2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]. 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>The virus was identified as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a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putative new member of the family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, for which the name wheat stripe mosaic virus (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) was proposed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2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]. </w:t>
            </w:r>
            <w:proofErr w:type="spellStart"/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was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also </w:t>
            </w:r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>detected in wheat samples showing mosaic symptoms in South Africa and Paraguay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 xml:space="preserve"> [3, 4]</w:t>
            </w:r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has a bipartite genome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>comprising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 1 and RNA 2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with an 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organization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consistent with members of the </w:t>
            </w:r>
            <w:proofErr w:type="spellStart"/>
            <w:r w:rsidR="00957496"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family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, which typically contain 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two to five segments of positive-sense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>single-stranded RNA (</w:t>
            </w:r>
            <w:proofErr w:type="spellStart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>ssRNA</w:t>
            </w:r>
            <w:proofErr w:type="spellEnd"/>
            <w:r w:rsidR="00957496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37440890" w14:textId="77745911" w:rsidR="00957496" w:rsidRDefault="00957496" w:rsidP="00612B1F">
            <w:pPr>
              <w:jc w:val="both"/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The 5′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untranslated region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UTR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 1 (115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, is comparable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length to that of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viruses within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genus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rang</w:t>
            </w:r>
            <w:r w:rsidR="0011733D">
              <w:rPr>
                <w:rFonts w:ascii="Aptos" w:hAnsi="Aptos"/>
                <w:color w:val="000000"/>
                <w:sz w:val="20"/>
                <w:szCs w:val="20"/>
              </w:rPr>
              <w:t>ing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 xml:space="preserve"> from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124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to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153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nucleotides (</w:t>
            </w: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In contrast,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3′-UTR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RNA1,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(336–353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is notably longer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than that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observed</w:t>
            </w:r>
            <w:r w:rsidR="007B5D7F">
              <w:rPr>
                <w:rFonts w:ascii="Aptos" w:hAnsi="Aptos"/>
                <w:color w:val="000000"/>
                <w:sz w:val="20"/>
                <w:szCs w:val="20"/>
              </w:rPr>
              <w:t xml:space="preserve"> for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members, which typically range</w:t>
            </w:r>
            <w:r w:rsidR="007B5D7F">
              <w:rPr>
                <w:rFonts w:ascii="Aptos" w:hAnsi="Aptos"/>
                <w:color w:val="000000"/>
                <w:sz w:val="20"/>
                <w:szCs w:val="20"/>
              </w:rPr>
              <w:t>s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from 181 to 233 nucleotide</w:t>
            </w:r>
            <w:r w:rsidR="002344FB">
              <w:rPr>
                <w:rFonts w:ascii="Aptos" w:hAnsi="Aptos"/>
                <w:color w:val="000000"/>
                <w:sz w:val="20"/>
                <w:szCs w:val="20"/>
              </w:rPr>
              <w:t>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 1</w:t>
            </w:r>
            <w:r w:rsidR="005F0F4B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encodes a polyprotein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of approximately 231.7kDa,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putative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ly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functioning as a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viral replicase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, with a molecular size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similar to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those reported for </w:t>
            </w:r>
            <w:proofErr w:type="spellStart"/>
            <w:r w:rsidRPr="00772B0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species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 Proteolytic cleavage of the replicase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has been described for members of the family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and distinguishes this group from all other viruses with rod-shaped particles.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Furthermore, a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conserved GDD motif (Gly-Asp-Asp) is present in all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isolates and is also present in the same position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as in other members of the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20F47689" w14:textId="2EDA22F3" w:rsidR="0086687B" w:rsidRDefault="000920D4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</w:p>
          <w:p w14:paraId="1DC3FBFA" w14:textId="283987D3" w:rsidR="0040754C" w:rsidRDefault="0040754C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length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2 (4879–4901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was similar to that of members of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(4314–4635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). The 5′-UTR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2 (145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was also similar in length to that of members of the genus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(144–179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). However, the 3′-UTR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(96–116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was </w:t>
            </w:r>
            <w:r w:rsidR="001E2A1B">
              <w:rPr>
                <w:rFonts w:ascii="Aptos" w:hAnsi="Aptos"/>
                <w:color w:val="000000"/>
                <w:sz w:val="20"/>
                <w:szCs w:val="20"/>
              </w:rPr>
              <w:t>shorter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Six putative ORFs were identified in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2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, similar to what i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 observed for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2 of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b</w:t>
            </w:r>
            <w:r w:rsidR="00710472" w:rsidRPr="002013ED">
              <w:rPr>
                <w:rFonts w:ascii="Aptos" w:hAnsi="Aptos"/>
                <w:color w:val="000000"/>
                <w:sz w:val="20"/>
                <w:szCs w:val="20"/>
              </w:rPr>
              <w:t>eet necrotic yellow vein virus</w:t>
            </w:r>
            <w:r w:rsidR="0071047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10472" w:rsidRPr="002013ED">
              <w:rPr>
                <w:rFonts w:ascii="Aptos" w:hAnsi="Aptos"/>
                <w:color w:val="000000"/>
                <w:sz w:val="20"/>
                <w:szCs w:val="20"/>
              </w:rPr>
              <w:t>(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>BNYVV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 w:rsidR="00710472" w:rsidRPr="00710472">
              <w:rPr>
                <w:rFonts w:ascii="Aptos" w:hAnsi="Aptos"/>
                <w:color w:val="000000"/>
                <w:sz w:val="20"/>
                <w:szCs w:val="20"/>
              </w:rPr>
              <w:t>b</w:t>
            </w:r>
            <w:r w:rsidR="00710472" w:rsidRPr="00612B1F">
              <w:rPr>
                <w:rFonts w:ascii="Aptos" w:hAnsi="Aptos"/>
                <w:color w:val="000000"/>
                <w:sz w:val="20"/>
                <w:szCs w:val="20"/>
              </w:rPr>
              <w:t xml:space="preserve">eet soil-borne mosaic virus </w:t>
            </w:r>
            <w:r w:rsidR="00710472" w:rsidRPr="00710472">
              <w:rPr>
                <w:rFonts w:ascii="Aptos" w:hAnsi="Aptos"/>
                <w:color w:val="000000"/>
                <w:sz w:val="20"/>
                <w:szCs w:val="20"/>
              </w:rPr>
              <w:t>(BSBMV) and r</w:t>
            </w:r>
            <w:r w:rsidR="00710472" w:rsidRPr="00612B1F">
              <w:rPr>
                <w:rFonts w:ascii="Aptos" w:hAnsi="Aptos"/>
                <w:color w:val="000000"/>
                <w:sz w:val="20"/>
                <w:szCs w:val="20"/>
              </w:rPr>
              <w:t>ice stripe necrosis virus</w:t>
            </w:r>
            <w:r w:rsidR="00710472" w:rsidRPr="00710472">
              <w:rPr>
                <w:rFonts w:ascii="Aptos" w:hAnsi="Aptos"/>
                <w:color w:val="000000"/>
                <w:sz w:val="20"/>
                <w:szCs w:val="20"/>
              </w:rPr>
              <w:t xml:space="preserve"> (RSNV)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ORF 2 encodes the viral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coat protein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CP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A conserved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KTER (Lys-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Thr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-Glu-Arg) motif found in the RT protein of BNYVV</w:t>
            </w:r>
            <w:r w:rsidR="00901010">
              <w:rPr>
                <w:rFonts w:ascii="Aptos" w:hAnsi="Aptos"/>
                <w:color w:val="000000"/>
                <w:sz w:val="20"/>
                <w:szCs w:val="20"/>
              </w:rPr>
              <w:t xml:space="preserve"> and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BSBMV members of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) is required for virus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-mediated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transmission by </w:t>
            </w:r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betae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A similar motif (VTER) was found in the amino acid sequences of the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ORFs 3, 4 and 5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encode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putative triple gene block (TGB)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proteins which are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associated with viral movement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host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plants.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ORF3 encodes the p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utative TGB 1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protein which contains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 helicase domain, also found in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BdMV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, BNYVV and MILV.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ORF4 encodes t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he putative TGB 2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protein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which includes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 conserved domain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implicated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with viral movement, as described for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BdMV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ORF 5 encodes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the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putative TGB 3 protein,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functionally analogous to those in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other members of the family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These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TGB 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proteins are important for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both 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>cell-to-cell and long-distance movement of the virus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, as demonstrated in BNYVV-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infected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plants.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Given the similarities and the conserved domains, it is suggested that the TGB discovered in isolates of the new virus is involved in cell-to-cell movement. The size of ORF 6 was the most divergent among the characterized isolates and species of the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</w:p>
          <w:p w14:paraId="02A66956" w14:textId="77777777" w:rsidR="0040754C" w:rsidRPr="00AE1F7C" w:rsidRDefault="0040754C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4523AE9B" w14:textId="421C6B37" w:rsidR="0040754C" w:rsidRDefault="00280AD0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The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current taxonomic criterion for species demarcation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the genus </w:t>
            </w:r>
            <w:proofErr w:type="spellStart"/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is amino acid sequence identity of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CP &lt;90% 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>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1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>]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Based on the genomic organization, </w:t>
            </w:r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P. </w:t>
            </w:r>
            <w:proofErr w:type="spellStart"/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graminis</w:t>
            </w:r>
            <w:proofErr w:type="spellEnd"/>
            <w:r w:rsidR="006C06C8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associated </w:t>
            </w:r>
            <w:proofErr w:type="spellStart"/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-infected plants, and the nucleotide and amino acid sequences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obtained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from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viral isolates described in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this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study, it is proposed that wheat stripe mosaic virus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represents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 xml:space="preserve"> member of a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ovel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species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="0086687B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="0011733D">
              <w:rPr>
                <w:rFonts w:ascii="Aptos" w:hAnsi="Aptos"/>
                <w:color w:val="000000"/>
                <w:sz w:val="20"/>
                <w:szCs w:val="20"/>
              </w:rPr>
              <w:t xml:space="preserve">genus </w:t>
            </w:r>
            <w:proofErr w:type="spellStart"/>
            <w:r w:rsidR="0011733D" w:rsidRPr="000E44F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="0011733D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="0040754C"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, for which the name “</w:t>
            </w:r>
            <w:proofErr w:type="spellStart"/>
            <w:r w:rsidRPr="00693BD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693BD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3BD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tritici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” is proposed.</w:t>
            </w:r>
          </w:p>
          <w:p w14:paraId="04EE4A27" w14:textId="77777777" w:rsidR="0040754C" w:rsidRPr="00AE1F7C" w:rsidRDefault="0040754C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6439F55D" w14:textId="0DEB428A" w:rsidR="00A77B8E" w:rsidRDefault="0040754C" w:rsidP="00EB6DD9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Phylogenetic analyses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further support this classification, as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isolates formed a distinct clade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="00280AD0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trees constructed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using the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complete RNA segments and all coding regions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>. This clustering indicates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a close relationship among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 the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Brazilian isolates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 and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corroborates the sequence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>identity</w:t>
            </w:r>
            <w:r w:rsidR="00280AD0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data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>reinforcing the conclusion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that the viral isolates described here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belong to the same species and are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genetically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distinct from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other 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>r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ecognized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species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within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genus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C69F94" w:rsidR="00953FFE" w:rsidRPr="00EB6DD9" w:rsidRDefault="002D692E" w:rsidP="00DD58AA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1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] 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 xml:space="preserve">GILMER D, RATTI C, ICTV REPORT CONSORTIUM 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>2017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>).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 xml:space="preserve"> ICTV Virus Taxonomy Profile: </w:t>
            </w:r>
            <w:proofErr w:type="spellStart"/>
            <w:r w:rsidRPr="00F13D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>Benyviridae</w:t>
            </w:r>
            <w:proofErr w:type="spellEnd"/>
            <w:r w:rsidR="00F13D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>.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 xml:space="preserve"> Journal of General Virology, 98: 1571–1572.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EB6DD9">
              <w:rPr>
                <w:rFonts w:ascii="Aptos" w:eastAsia="Aptos" w:hAnsi="Aptos" w:cs="Aptos"/>
                <w:sz w:val="20"/>
                <w:szCs w:val="20"/>
                <w:lang w:val="pt-BR"/>
              </w:rPr>
              <w:t>(</w:t>
            </w:r>
            <w:hyperlink r:id="rId9" w:history="1">
              <w:r w:rsidRPr="00EB6DD9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https://ictv.global/report/chapter/benyviridae/benyviridae</w:t>
              </w:r>
            </w:hyperlink>
            <w:r w:rsidRPr="00EB6DD9">
              <w:rPr>
                <w:rFonts w:ascii="Aptos" w:eastAsia="Aptos" w:hAnsi="Aptos" w:cs="Aptos"/>
                <w:sz w:val="20"/>
                <w:szCs w:val="20"/>
              </w:rPr>
              <w:t>).</w:t>
            </w:r>
          </w:p>
          <w:p w14:paraId="07771EC4" w14:textId="123A3085" w:rsidR="001A405E" w:rsidRPr="00EB6DD9" w:rsidRDefault="00953FFE" w:rsidP="001A405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F13DE2">
              <w:rPr>
                <w:rFonts w:ascii="Aptos" w:hAnsi="Aptos" w:cs="Arial"/>
                <w:sz w:val="20"/>
                <w:szCs w:val="20"/>
                <w:lang w:val="pt-BR"/>
              </w:rPr>
              <w:t xml:space="preserve"> </w:t>
            </w:r>
            <w:r w:rsidR="001A405E" w:rsidRPr="00F13DE2">
              <w:rPr>
                <w:rFonts w:ascii="Aptos" w:hAnsi="Aptos"/>
                <w:color w:val="000000"/>
                <w:sz w:val="20"/>
                <w:szCs w:val="20"/>
                <w:lang w:val="pt-BR"/>
              </w:rPr>
              <w:t xml:space="preserve">[2] </w:t>
            </w:r>
            <w:r w:rsidR="001A405E"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 xml:space="preserve"> VALENTE JB, PEREIRA FS, STEMPKOWSKI LA, FARIAS M, KUHNEM P, LAU D, FAJARDO TVM, NHANI JUNIOR A, CASA RT, BOGO A, SILVA FN (2019). </w:t>
            </w:r>
            <w:r w:rsidR="001A405E" w:rsidRPr="00472D5A">
              <w:rPr>
                <w:rFonts w:ascii="Aptos" w:eastAsia="Aptos" w:hAnsi="Aptos" w:cs="Aptos"/>
                <w:sz w:val="20"/>
                <w:szCs w:val="20"/>
              </w:rPr>
              <w:t xml:space="preserve">A novel putative member of the family </w:t>
            </w:r>
            <w:proofErr w:type="spellStart"/>
            <w:r w:rsidR="001A405E" w:rsidRPr="00F13D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>Benyviridae</w:t>
            </w:r>
            <w:proofErr w:type="spellEnd"/>
            <w:r w:rsidR="001A405E" w:rsidRPr="00472D5A">
              <w:rPr>
                <w:rFonts w:ascii="Aptos" w:eastAsia="Aptos" w:hAnsi="Aptos" w:cs="Aptos"/>
                <w:sz w:val="20"/>
                <w:szCs w:val="20"/>
              </w:rPr>
              <w:t xml:space="preserve"> is associated with soilborne wheat mosaic disease in Brazil. </w:t>
            </w:r>
            <w:r w:rsidR="001A405E" w:rsidRPr="00EB6DD9">
              <w:rPr>
                <w:rFonts w:ascii="Aptos" w:eastAsia="Aptos" w:hAnsi="Aptos" w:cs="Aptos"/>
                <w:sz w:val="20"/>
                <w:szCs w:val="20"/>
              </w:rPr>
              <w:t>Plant Pathology 68:588–600. (</w:t>
            </w:r>
            <w:hyperlink r:id="rId10" w:history="1">
              <w:r w:rsidR="001A405E" w:rsidRPr="00EB6DD9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https://doi.org/10.1111/ppa.12970</w:t>
              </w:r>
            </w:hyperlink>
            <w:r w:rsidR="001A405E" w:rsidRPr="00EB6DD9">
              <w:rPr>
                <w:rFonts w:ascii="Aptos" w:eastAsia="Aptos" w:hAnsi="Aptos" w:cs="Aptos"/>
                <w:sz w:val="20"/>
                <w:szCs w:val="20"/>
              </w:rPr>
              <w:t xml:space="preserve">). </w:t>
            </w:r>
          </w:p>
          <w:p w14:paraId="73710EB1" w14:textId="27CC5FD4" w:rsidR="001A405E" w:rsidRPr="00472D5A" w:rsidRDefault="001A405E" w:rsidP="001A405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>[3]</w:t>
            </w:r>
            <w:r w:rsidR="00F13DE2"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 xml:space="preserve"> </w:t>
            </w:r>
            <w:r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 xml:space="preserve">ESQUIVEL-FARIÑA A, CAMELO-GARCÍA VM, KITAJIMA EW, REZENDE JAM, GONZÁLEZ-SEGNANA LR (2019). 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>First report of wheat stripe mosaic virus in Paraguay. Australasian Plant Disease Notes 14:24. (</w:t>
            </w:r>
            <w:hyperlink r:id="rId11" w:history="1">
              <w:r w:rsidRPr="00564D1B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https://doi.org/10.1007/s13314-019-0355-4</w:t>
              </w:r>
            </w:hyperlink>
            <w:r w:rsidRPr="00472D5A">
              <w:rPr>
                <w:rFonts w:ascii="Aptos" w:eastAsia="Aptos" w:hAnsi="Aptos" w:cs="Aptos"/>
                <w:sz w:val="20"/>
                <w:szCs w:val="20"/>
              </w:rPr>
              <w:t>).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D1B1CCD" w14:textId="39C8337C" w:rsidR="00953FFE" w:rsidRPr="00F13DE2" w:rsidRDefault="001A405E" w:rsidP="0033339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[4]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 xml:space="preserve">TEREFE TG, VISSER B, BOTHA W, KOZANA A, ROBERTS R, THOMPSON GD, PRINSLOO G, READ DA (2020). Detection and molecular characterization of 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>w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>heat stripe mosaic virus on wheat in South Africa. Crop Protection 143:105464. (</w:t>
            </w:r>
            <w:hyperlink r:id="rId12" w:history="1">
              <w:r w:rsidRPr="00564D1B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https://doi.org/10.1016/j.cropro.2020.105464</w:t>
              </w:r>
            </w:hyperlink>
            <w:r w:rsidRPr="00472D5A">
              <w:rPr>
                <w:rFonts w:ascii="Aptos" w:eastAsia="Aptos" w:hAnsi="Aptos" w:cs="Aptos"/>
                <w:sz w:val="20"/>
                <w:szCs w:val="20"/>
              </w:rPr>
              <w:t>).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01"/>
        <w:gridCol w:w="4725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5EF19C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715134CF" w:rsidR="00FC2269" w:rsidRPr="008D4A36" w:rsidRDefault="008D4A3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8D4A36">
              <w:rPr>
                <w:rFonts w:ascii="Aptos" w:hAnsi="Aptos" w:cs="Arial"/>
                <w:bCs/>
                <w:sz w:val="20"/>
                <w:szCs w:val="20"/>
              </w:rPr>
              <w:t>2025.</w:t>
            </w:r>
            <w:proofErr w:type="gramStart"/>
            <w:r w:rsidRPr="008D4A36">
              <w:rPr>
                <w:rFonts w:ascii="Aptos" w:hAnsi="Aptos" w:cs="Arial"/>
                <w:bCs/>
                <w:sz w:val="20"/>
                <w:szCs w:val="20"/>
              </w:rPr>
              <w:t>005P</w:t>
            </w:r>
            <w:r w:rsidR="00731313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="0011733D">
              <w:rPr>
                <w:rFonts w:ascii="Aptos" w:hAnsi="Aptos" w:cs="Arial"/>
                <w:bCs/>
                <w:sz w:val="20"/>
                <w:szCs w:val="20"/>
              </w:rPr>
              <w:t>Uc</w:t>
            </w:r>
            <w:r w:rsidR="00731313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proofErr w:type="gramEnd"/>
            <w:r w:rsidR="0011733D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8D4A36">
              <w:rPr>
                <w:rFonts w:ascii="Aptos" w:hAnsi="Aptos" w:cs="Arial"/>
                <w:bCs/>
                <w:sz w:val="20"/>
                <w:szCs w:val="20"/>
              </w:rPr>
              <w:t>.Benyviridae_Benyvirus_1nsp</w:t>
            </w:r>
          </w:p>
        </w:tc>
        <w:tc>
          <w:tcPr>
            <w:tcW w:w="6663" w:type="dxa"/>
          </w:tcPr>
          <w:p w14:paraId="22F4B256" w14:textId="2F23B56C" w:rsidR="00FC2269" w:rsidRPr="008D4A36" w:rsidRDefault="008D4A3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8D4A36">
              <w:rPr>
                <w:rFonts w:ascii="Aptos" w:hAnsi="Aptos" w:cs="Arial"/>
                <w:bCs/>
                <w:sz w:val="20"/>
                <w:szCs w:val="20"/>
              </w:rPr>
              <w:t>spreadsheet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11A140A2" w:rsidR="00FC2269" w:rsidRPr="00CF59EA" w:rsidRDefault="00584D4F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8D4A36">
              <w:rPr>
                <w:rFonts w:ascii="Aptos" w:hAnsi="Aptos" w:cs="Arial"/>
                <w:bCs/>
                <w:sz w:val="20"/>
                <w:szCs w:val="20"/>
              </w:rPr>
              <w:t>2025.005P</w:t>
            </w:r>
            <w:r>
              <w:rPr>
                <w:rFonts w:ascii="Aptos" w:hAnsi="Aptos" w:cs="Arial"/>
                <w:bCs/>
                <w:sz w:val="20"/>
                <w:szCs w:val="20"/>
              </w:rPr>
              <w:t>_Plant Pathology 2018</w:t>
            </w:r>
          </w:p>
        </w:tc>
        <w:tc>
          <w:tcPr>
            <w:tcW w:w="6663" w:type="dxa"/>
          </w:tcPr>
          <w:p w14:paraId="7C103FB7" w14:textId="6205A478" w:rsidR="00FC2269" w:rsidRPr="00612B1F" w:rsidRDefault="00584D4F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12B1F">
              <w:rPr>
                <w:rFonts w:ascii="Aptos" w:hAnsi="Aptos" w:cs="Arial"/>
                <w:bCs/>
                <w:sz w:val="20"/>
                <w:szCs w:val="20"/>
              </w:rPr>
              <w:t>article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8DC10B2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6A1969A3" w14:textId="3426F02C" w:rsidR="008D4A36" w:rsidRPr="008D4A36" w:rsidRDefault="00035863" w:rsidP="008D4A36">
      <w:pPr>
        <w:jc w:val="both"/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07AE3B96" wp14:editId="03CBE728">
            <wp:extent cx="5926455" cy="3138170"/>
            <wp:effectExtent l="0" t="0" r="0" b="5080"/>
            <wp:docPr id="17752611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61187" name="Imagem 17752611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Figure 1.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Genome organization and putative translation strategies of wheat stripe mosaic virus (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). Putative self-cleavage of the replicase protein (black arrow RNA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-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1), a read-through </w:t>
      </w:r>
      <w:proofErr w:type="gram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stop</w:t>
      </w:r>
      <w:proofErr w:type="gram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codon UAG (black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x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-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2), putative m7Gppp (black circle) and the 3′ poly (A)-tails (A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  <w:vertAlign w:val="subscript"/>
        </w:rPr>
        <w:t>n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).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has seven predicted open reading frames (ORFs): ORF 1 encodes 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viral replicase, ORF 2 encodes 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coat protein, ORF 2A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read-through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CP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ORF 3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triple gene block 1 (TGB 1), probably coded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a, ORF 4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TGB 2, probably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b, ORF 5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TGB 3, probably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b, and ORF 6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encodes a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hypothetical protein, probably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c. Predicted molecular weights of proteins are indicated in kilodaltons (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kDa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). Dotted lines are used for all putative aspects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.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</w:p>
    <w:p w14:paraId="0714DFDD" w14:textId="77777777" w:rsidR="008D4A36" w:rsidRDefault="008D4A36" w:rsidP="00FC2269">
      <w:pPr>
        <w:rPr>
          <w:rFonts w:ascii="Open Sans" w:hAnsi="Open Sans" w:cs="Open Sans"/>
          <w:color w:val="1C1D1E"/>
          <w:sz w:val="18"/>
          <w:szCs w:val="18"/>
          <w:shd w:val="clear" w:color="auto" w:fill="FFFFFF"/>
        </w:rPr>
      </w:pPr>
    </w:p>
    <w:p w14:paraId="1F7C5E4B" w14:textId="108F95D7" w:rsidR="008D4A36" w:rsidRDefault="008D4A36" w:rsidP="00FC2269">
      <w:pPr>
        <w:rPr>
          <w:rFonts w:ascii="Open Sans" w:hAnsi="Open Sans" w:cs="Open Sans"/>
          <w:color w:val="1C1D1E"/>
          <w:sz w:val="18"/>
          <w:szCs w:val="18"/>
          <w:shd w:val="clear" w:color="auto" w:fill="FFFFFF"/>
        </w:rPr>
      </w:pPr>
    </w:p>
    <w:p w14:paraId="45F753EF" w14:textId="71986BEC" w:rsidR="008D4A36" w:rsidRDefault="006C7AC5" w:rsidP="00FC2269">
      <w:pPr>
        <w:rPr>
          <w:rFonts w:ascii="Open Sans" w:hAnsi="Open Sans" w:cs="Open Sans"/>
          <w:color w:val="1C1D1E"/>
          <w:sz w:val="18"/>
          <w:szCs w:val="1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62B787D" wp14:editId="458306BC">
            <wp:extent cx="5926455" cy="2469515"/>
            <wp:effectExtent l="0" t="0" r="0" b="6985"/>
            <wp:docPr id="9392970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ED922" w14:textId="4346A8FE" w:rsidR="008D4A36" w:rsidRDefault="008D4A36" w:rsidP="00035863">
      <w:pPr>
        <w:jc w:val="both"/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Figure 2.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P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ercent sequence identit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y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matrices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among isolates of wheat stripe mosaic virus (</w:t>
      </w:r>
      <w:proofErr w:type="spellStart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 and species of the family </w:t>
      </w:r>
      <w:proofErr w:type="spellStart"/>
      <w:r w:rsidRPr="008D4A36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 for RNA 1, RNA 2, and all open reading frames (ORFs), except ORF 6. Percent nucleotide and amino acid sequence identities are shown below and above the diagonal, respectively. ORF 1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viral replicase, ORF 2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coat protein, ORF 2A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read-through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CP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ORF 3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triple gene block 1 (TGB 1), ORF 4 encodes TGB 2, and ORF 5 encodes TGB 3. Members of the family </w:t>
      </w:r>
      <w:proofErr w:type="spellStart"/>
      <w:r w:rsidRPr="008D4A36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are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eet necrotic yellow vein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(BNYVV),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eet soil-borne mosaic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(BSBMV),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urdock mottle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(</w:t>
      </w:r>
      <w:proofErr w:type="spellStart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BdMV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),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r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ice stripe necrosis virus 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(RSNV)</w:t>
      </w:r>
      <w:r w:rsidR="00D9022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.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Mangifera indica latent virus (MILV)</w:t>
      </w:r>
      <w:r w:rsidR="00D9022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is a related unclassified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. </w:t>
      </w:r>
    </w:p>
    <w:p w14:paraId="78037BA2" w14:textId="77777777" w:rsidR="00A562E7" w:rsidRDefault="00A562E7" w:rsidP="00035863">
      <w:pPr>
        <w:jc w:val="both"/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</w:p>
    <w:p w14:paraId="124981DA" w14:textId="502D3029" w:rsidR="00A562E7" w:rsidRDefault="00A562E7" w:rsidP="00FC2269">
      <w:pPr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</w:p>
    <w:p w14:paraId="1FFF8541" w14:textId="246B75AB" w:rsidR="00A562E7" w:rsidRDefault="001B059B" w:rsidP="00FC2269">
      <w:pPr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  <w:r>
        <w:rPr>
          <w:rFonts w:ascii="Aptos" w:hAnsi="Aptos" w:cs="Open Sans"/>
          <w:noProof/>
          <w:color w:val="1C1D1E"/>
          <w:sz w:val="18"/>
          <w:szCs w:val="18"/>
          <w:shd w:val="clear" w:color="auto" w:fill="FFFFFF"/>
        </w:rPr>
        <w:lastRenderedPageBreak/>
        <w:drawing>
          <wp:inline distT="0" distB="0" distL="0" distR="0" wp14:anchorId="498DF710" wp14:editId="5E4B6C58">
            <wp:extent cx="5926455" cy="5973445"/>
            <wp:effectExtent l="0" t="0" r="0" b="8255"/>
            <wp:docPr id="1153107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07861" name="Imagem 115310786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53338" w14:textId="7E2862FB" w:rsidR="00A562E7" w:rsidRPr="00A562E7" w:rsidRDefault="00A562E7" w:rsidP="00A562E7">
      <w:pPr>
        <w:jc w:val="both"/>
        <w:rPr>
          <w:rFonts w:ascii="Aptos" w:hAnsi="Aptos"/>
          <w:color w:val="0070C0"/>
        </w:rPr>
      </w:pP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Figure 3. Phylogenetic relationships, based on the codon-aligned nucleotide sequences of coat protein (a), </w:t>
      </w:r>
      <w:r w:rsidR="00CA0DDE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first triple gene block 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(b), and</w:t>
      </w:r>
      <w:r w:rsidR="00CA0DD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7118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replicase</w:t>
      </w:r>
      <w:r w:rsidR="00860ED0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(c) of viruses of the family </w:t>
      </w:r>
      <w:proofErr w:type="spellStart"/>
      <w:r w:rsidRPr="00A562E7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and other related viruses. Numbers on branches indicate bootstrap values. Alignments were performed with </w:t>
      </w:r>
      <w:r w:rsidRPr="00A562E7">
        <w:rPr>
          <w:rStyle w:val="smallcaps"/>
          <w:rFonts w:ascii="Aptos" w:hAnsi="Aptos" w:cs="Open Sans"/>
          <w:smallCaps/>
          <w:color w:val="1C1D1E"/>
          <w:sz w:val="18"/>
          <w:szCs w:val="18"/>
          <w:shd w:val="clear" w:color="auto" w:fill="FFFFFF"/>
        </w:rPr>
        <w:t>muscle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.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Scale 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ars indicate substitutions per site. Members of the family </w:t>
      </w:r>
      <w:proofErr w:type="spellStart"/>
      <w:r w:rsidRPr="00A562E7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 are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heat stripe mosaic virus (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), beet necrotic yellow vein virus (BNYVV), beet soil-borne mosaic virus (BSBMV), burdock mottle virus (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BdMV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), rice stripe necrosis virus (RSNV), and </w:t>
      </w:r>
      <w:r w:rsidR="00B649A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related 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Mangifera indica latent virus (MILV)</w:t>
      </w:r>
      <w:r w:rsidR="003853B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3179E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(represented by </w:t>
      </w:r>
      <w:r w:rsidR="003853B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blue</w:t>
      </w:r>
      <w:r w:rsidR="004E5111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color)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. Other viruses are: AOPRV, African oil palm ringspot virus; ASPV, apple stem pitting virus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;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BanMMV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 banana mild mosaic virus; BSMV, barley stripe mosaic virus; BVE,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lackberry virus E; CAFV,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assava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alphaflexivirus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; CNRMV, cherry necrotic rusty mottle virus; GORV, gentian ovary ringspot virus; HBBLV, Hubei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beny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-like virus 1; HEV, human hepatitis E virus; ICRSV, Indian citrus ringspot virus;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LoLV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 Lolium latent virus; MPTLV,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Macrophomina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phaseolina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tobamo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-like virus; PCV, peanut clump virus; PMTV, potato mop top virus; PVM, potato virus M; PVX, potato virus X; RUBV, rubella virus; SBWMV, soil-borne wheat mosaic virus;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SCSMaV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ugarcane striate mosaic-associated virus;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ShVX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 shallot virus X; TMV, tobacco mosaic virus; and TRV, tobacco rattle virus. </w:t>
      </w:r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proofErr w:type="spellStart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colours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black, green, orange, pink, grey, and purple represent members of the families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Virgaviridae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Alphaflexiviridae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Betaflexiviridae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Togaviridae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Hepeviridae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and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Matonaviridae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, respectively. Red represents unclassified viruses.</w:t>
      </w:r>
      <w:r w:rsidR="00C2227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Phylogenetic trees were</w:t>
      </w:r>
      <w:r w:rsidR="001C41BD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constructed using the maximum likelihood method implemented</w:t>
      </w:r>
      <w:r w:rsidR="00F52801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in the MEGA v. </w:t>
      </w:r>
      <w:r w:rsidR="00925EF3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12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program (</w:t>
      </w:r>
      <w:r w:rsidR="00925EF3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Kumar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et al., 20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24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 with</w:t>
      </w:r>
      <w:r w:rsidR="00F52801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Tamura’s three-parameter model, gamma distribution (G), and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invariant sites (I). The robustness of each internal branch was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estimated from 2000 bootstrap replicates for the coat protein</w:t>
      </w:r>
      <w:r w:rsidR="000E1C21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(CP) and for the triple gene block movement 1 (TGB 1) genes,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and from 6000 bootstrap replicates for the replicase gene. </w:t>
      </w:r>
    </w:p>
    <w:sectPr w:rsidR="00A562E7" w:rsidRPr="00A562E7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9891" w14:textId="77777777" w:rsidR="000D6B59" w:rsidRDefault="000D6B59">
      <w:r>
        <w:separator/>
      </w:r>
    </w:p>
  </w:endnote>
  <w:endnote w:type="continuationSeparator" w:id="0">
    <w:p w14:paraId="00E1D0B3" w14:textId="77777777" w:rsidR="000D6B59" w:rsidRDefault="000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E778" w14:textId="77777777" w:rsidR="000D6B59" w:rsidRDefault="000D6B59">
      <w:r>
        <w:separator/>
      </w:r>
    </w:p>
  </w:footnote>
  <w:footnote w:type="continuationSeparator" w:id="0">
    <w:p w14:paraId="7B22EF7C" w14:textId="77777777" w:rsidR="000D6B59" w:rsidRDefault="000D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ECA"/>
    <w:multiLevelType w:val="multilevel"/>
    <w:tmpl w:val="B6F41DCA"/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152CE"/>
    <w:multiLevelType w:val="multilevel"/>
    <w:tmpl w:val="4B9AC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DE0BDB"/>
    <w:multiLevelType w:val="multilevel"/>
    <w:tmpl w:val="FE629B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B848AE"/>
    <w:multiLevelType w:val="multilevel"/>
    <w:tmpl w:val="22B4DA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D84FF2"/>
    <w:multiLevelType w:val="hybridMultilevel"/>
    <w:tmpl w:val="78B41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863"/>
    <w:rsid w:val="00035A87"/>
    <w:rsid w:val="000406E1"/>
    <w:rsid w:val="00040CB0"/>
    <w:rsid w:val="0004176B"/>
    <w:rsid w:val="000449DB"/>
    <w:rsid w:val="0008012E"/>
    <w:rsid w:val="000920D4"/>
    <w:rsid w:val="00092DDA"/>
    <w:rsid w:val="0009485E"/>
    <w:rsid w:val="000A146A"/>
    <w:rsid w:val="000A5F9A"/>
    <w:rsid w:val="000A7027"/>
    <w:rsid w:val="000B1BF3"/>
    <w:rsid w:val="000B5D78"/>
    <w:rsid w:val="000B6878"/>
    <w:rsid w:val="000D182E"/>
    <w:rsid w:val="000D6B59"/>
    <w:rsid w:val="000E1C21"/>
    <w:rsid w:val="000E44FB"/>
    <w:rsid w:val="000E54FF"/>
    <w:rsid w:val="000F51F4"/>
    <w:rsid w:val="000F7067"/>
    <w:rsid w:val="00106232"/>
    <w:rsid w:val="0011008F"/>
    <w:rsid w:val="0011733D"/>
    <w:rsid w:val="00117C72"/>
    <w:rsid w:val="00130408"/>
    <w:rsid w:val="0013113D"/>
    <w:rsid w:val="001322FC"/>
    <w:rsid w:val="00135B9C"/>
    <w:rsid w:val="00171083"/>
    <w:rsid w:val="00172351"/>
    <w:rsid w:val="001A405E"/>
    <w:rsid w:val="001B059B"/>
    <w:rsid w:val="001C41BD"/>
    <w:rsid w:val="001D0007"/>
    <w:rsid w:val="001D3E3E"/>
    <w:rsid w:val="001E159A"/>
    <w:rsid w:val="001E2A1B"/>
    <w:rsid w:val="001F2770"/>
    <w:rsid w:val="00220A26"/>
    <w:rsid w:val="002312CE"/>
    <w:rsid w:val="0023149A"/>
    <w:rsid w:val="002344FB"/>
    <w:rsid w:val="00235ECF"/>
    <w:rsid w:val="0023696B"/>
    <w:rsid w:val="0024086E"/>
    <w:rsid w:val="0025498B"/>
    <w:rsid w:val="00273642"/>
    <w:rsid w:val="00280AD0"/>
    <w:rsid w:val="00292CF9"/>
    <w:rsid w:val="00293AB5"/>
    <w:rsid w:val="00296DA3"/>
    <w:rsid w:val="002A5A83"/>
    <w:rsid w:val="002D3EDE"/>
    <w:rsid w:val="002D4340"/>
    <w:rsid w:val="002D692E"/>
    <w:rsid w:val="002F30FE"/>
    <w:rsid w:val="00310BB8"/>
    <w:rsid w:val="003179EE"/>
    <w:rsid w:val="003231C3"/>
    <w:rsid w:val="003259BF"/>
    <w:rsid w:val="00327E73"/>
    <w:rsid w:val="00333392"/>
    <w:rsid w:val="00341F97"/>
    <w:rsid w:val="00347532"/>
    <w:rsid w:val="00355CE0"/>
    <w:rsid w:val="00363A30"/>
    <w:rsid w:val="0037243A"/>
    <w:rsid w:val="00382FE8"/>
    <w:rsid w:val="00383BBF"/>
    <w:rsid w:val="003853B7"/>
    <w:rsid w:val="0038593F"/>
    <w:rsid w:val="003A166F"/>
    <w:rsid w:val="003A18C5"/>
    <w:rsid w:val="003A5ED7"/>
    <w:rsid w:val="003B0883"/>
    <w:rsid w:val="003B3832"/>
    <w:rsid w:val="003C5428"/>
    <w:rsid w:val="003D0CA4"/>
    <w:rsid w:val="003D7D8A"/>
    <w:rsid w:val="003F2A97"/>
    <w:rsid w:val="0040754C"/>
    <w:rsid w:val="0043110C"/>
    <w:rsid w:val="004317C7"/>
    <w:rsid w:val="00432969"/>
    <w:rsid w:val="00437970"/>
    <w:rsid w:val="00471256"/>
    <w:rsid w:val="004E5111"/>
    <w:rsid w:val="004F2F1E"/>
    <w:rsid w:val="004F3196"/>
    <w:rsid w:val="005268F2"/>
    <w:rsid w:val="00536426"/>
    <w:rsid w:val="00543F86"/>
    <w:rsid w:val="00545CE0"/>
    <w:rsid w:val="0055339F"/>
    <w:rsid w:val="0055461D"/>
    <w:rsid w:val="0058465A"/>
    <w:rsid w:val="00584D4C"/>
    <w:rsid w:val="00584D4F"/>
    <w:rsid w:val="00590DF3"/>
    <w:rsid w:val="005A54C3"/>
    <w:rsid w:val="005B4C7D"/>
    <w:rsid w:val="005F0F4B"/>
    <w:rsid w:val="006043FB"/>
    <w:rsid w:val="00607227"/>
    <w:rsid w:val="006109F7"/>
    <w:rsid w:val="00612B1F"/>
    <w:rsid w:val="00647814"/>
    <w:rsid w:val="0067795B"/>
    <w:rsid w:val="00683D0C"/>
    <w:rsid w:val="0069192D"/>
    <w:rsid w:val="0069255A"/>
    <w:rsid w:val="00693BDC"/>
    <w:rsid w:val="006B7AB8"/>
    <w:rsid w:val="006C06C8"/>
    <w:rsid w:val="006C0F51"/>
    <w:rsid w:val="006C4B86"/>
    <w:rsid w:val="006C7AC5"/>
    <w:rsid w:val="006D18F6"/>
    <w:rsid w:val="006D428E"/>
    <w:rsid w:val="006F3DBC"/>
    <w:rsid w:val="00710472"/>
    <w:rsid w:val="00723577"/>
    <w:rsid w:val="0072682D"/>
    <w:rsid w:val="00731313"/>
    <w:rsid w:val="00736440"/>
    <w:rsid w:val="00737875"/>
    <w:rsid w:val="00740A3F"/>
    <w:rsid w:val="00741880"/>
    <w:rsid w:val="00776F59"/>
    <w:rsid w:val="007B0F70"/>
    <w:rsid w:val="007B5D7F"/>
    <w:rsid w:val="007B6511"/>
    <w:rsid w:val="007C5764"/>
    <w:rsid w:val="007E0EF5"/>
    <w:rsid w:val="007E667B"/>
    <w:rsid w:val="007F559B"/>
    <w:rsid w:val="00822B3A"/>
    <w:rsid w:val="00824208"/>
    <w:rsid w:val="008308A0"/>
    <w:rsid w:val="00852D43"/>
    <w:rsid w:val="00860ED0"/>
    <w:rsid w:val="0086147A"/>
    <w:rsid w:val="00865726"/>
    <w:rsid w:val="0086687B"/>
    <w:rsid w:val="00867812"/>
    <w:rsid w:val="008703AB"/>
    <w:rsid w:val="0088105A"/>
    <w:rsid w:val="00881538"/>
    <w:rsid w:val="008815EE"/>
    <w:rsid w:val="00883A5C"/>
    <w:rsid w:val="008A22E9"/>
    <w:rsid w:val="008B43B1"/>
    <w:rsid w:val="008B664E"/>
    <w:rsid w:val="008D329A"/>
    <w:rsid w:val="008D4A36"/>
    <w:rsid w:val="008D7007"/>
    <w:rsid w:val="008E3404"/>
    <w:rsid w:val="008F51E2"/>
    <w:rsid w:val="008F7092"/>
    <w:rsid w:val="00900D69"/>
    <w:rsid w:val="00901010"/>
    <w:rsid w:val="00901EBC"/>
    <w:rsid w:val="00903048"/>
    <w:rsid w:val="00907179"/>
    <w:rsid w:val="009078FF"/>
    <w:rsid w:val="00925EF3"/>
    <w:rsid w:val="009418E6"/>
    <w:rsid w:val="009451FD"/>
    <w:rsid w:val="009457C8"/>
    <w:rsid w:val="0094642C"/>
    <w:rsid w:val="00953FFE"/>
    <w:rsid w:val="00957496"/>
    <w:rsid w:val="00964F7C"/>
    <w:rsid w:val="009703AF"/>
    <w:rsid w:val="00974174"/>
    <w:rsid w:val="009741D1"/>
    <w:rsid w:val="00974C28"/>
    <w:rsid w:val="00976E37"/>
    <w:rsid w:val="009835BF"/>
    <w:rsid w:val="009A3B4A"/>
    <w:rsid w:val="009F7856"/>
    <w:rsid w:val="00A10BA1"/>
    <w:rsid w:val="00A161EF"/>
    <w:rsid w:val="00A174CC"/>
    <w:rsid w:val="00A2357C"/>
    <w:rsid w:val="00A443CA"/>
    <w:rsid w:val="00A562E7"/>
    <w:rsid w:val="00A62329"/>
    <w:rsid w:val="00A77B8E"/>
    <w:rsid w:val="00A82FBB"/>
    <w:rsid w:val="00AA4711"/>
    <w:rsid w:val="00AB0EF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211B9"/>
    <w:rsid w:val="00B35CC8"/>
    <w:rsid w:val="00B47589"/>
    <w:rsid w:val="00B47939"/>
    <w:rsid w:val="00B541E7"/>
    <w:rsid w:val="00B5602F"/>
    <w:rsid w:val="00B649A8"/>
    <w:rsid w:val="00B7118A"/>
    <w:rsid w:val="00B77C20"/>
    <w:rsid w:val="00BA568C"/>
    <w:rsid w:val="00BB5FE1"/>
    <w:rsid w:val="00BC6F9B"/>
    <w:rsid w:val="00BD6C0B"/>
    <w:rsid w:val="00BD7967"/>
    <w:rsid w:val="00BE4F5A"/>
    <w:rsid w:val="00C06B8B"/>
    <w:rsid w:val="00C2227A"/>
    <w:rsid w:val="00C55633"/>
    <w:rsid w:val="00C5704A"/>
    <w:rsid w:val="00C63FEC"/>
    <w:rsid w:val="00C70424"/>
    <w:rsid w:val="00C72406"/>
    <w:rsid w:val="00C8775F"/>
    <w:rsid w:val="00C954B9"/>
    <w:rsid w:val="00C95FB7"/>
    <w:rsid w:val="00CA0DDE"/>
    <w:rsid w:val="00CD2C82"/>
    <w:rsid w:val="00CF4F40"/>
    <w:rsid w:val="00CF59EA"/>
    <w:rsid w:val="00D04287"/>
    <w:rsid w:val="00D062BE"/>
    <w:rsid w:val="00D10857"/>
    <w:rsid w:val="00D13AD5"/>
    <w:rsid w:val="00D23567"/>
    <w:rsid w:val="00D4120E"/>
    <w:rsid w:val="00D46663"/>
    <w:rsid w:val="00D479F3"/>
    <w:rsid w:val="00D77E1C"/>
    <w:rsid w:val="00D82D85"/>
    <w:rsid w:val="00D9022F"/>
    <w:rsid w:val="00D911DB"/>
    <w:rsid w:val="00DA45C6"/>
    <w:rsid w:val="00DB1F7D"/>
    <w:rsid w:val="00DC7BA7"/>
    <w:rsid w:val="00DD58AA"/>
    <w:rsid w:val="00DE01F5"/>
    <w:rsid w:val="00DF5D16"/>
    <w:rsid w:val="00E034BE"/>
    <w:rsid w:val="00E37077"/>
    <w:rsid w:val="00E50727"/>
    <w:rsid w:val="00E635FA"/>
    <w:rsid w:val="00E661AD"/>
    <w:rsid w:val="00E82A72"/>
    <w:rsid w:val="00E863D4"/>
    <w:rsid w:val="00E969AE"/>
    <w:rsid w:val="00EB6DD9"/>
    <w:rsid w:val="00ED4569"/>
    <w:rsid w:val="00EE484F"/>
    <w:rsid w:val="00EF2448"/>
    <w:rsid w:val="00F110F7"/>
    <w:rsid w:val="00F13DE2"/>
    <w:rsid w:val="00F16836"/>
    <w:rsid w:val="00F21474"/>
    <w:rsid w:val="00F52801"/>
    <w:rsid w:val="00F6148E"/>
    <w:rsid w:val="00F62692"/>
    <w:rsid w:val="00F711CE"/>
    <w:rsid w:val="00F74510"/>
    <w:rsid w:val="00F9028E"/>
    <w:rsid w:val="00F911F1"/>
    <w:rsid w:val="00F933B6"/>
    <w:rsid w:val="00F943F9"/>
    <w:rsid w:val="00FA1DC3"/>
    <w:rsid w:val="00FB300C"/>
    <w:rsid w:val="00FC2269"/>
    <w:rsid w:val="00FC2652"/>
    <w:rsid w:val="00FE171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smallcaps">
    <w:name w:val="smallcaps"/>
    <w:basedOn w:val="DefaultParagraphFont"/>
    <w:rsid w:val="00A5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ropro.2020.10546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3314-019-0355-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s://doi.org/10.1111/ppa.129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tv.global/report/chapter/benyviridae/benyviridae" TargetMode="External"/><Relationship Id="rId14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2317</Words>
  <Characters>13211</Characters>
  <Application>Microsoft Office Word</Application>
  <DocSecurity>0</DocSecurity>
  <Lines>110</Lines>
  <Paragraphs>30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2025-10-31T14:06:00Z</dcterms:created>
  <dcterms:modified xsi:type="dcterms:W3CDTF">2025-12-09T10:42:00Z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